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0186A" w14:textId="77777777" w:rsidR="00635402" w:rsidRDefault="003F67E3">
      <w:pPr>
        <w:rPr>
          <w:u w:val="single"/>
        </w:rPr>
      </w:pPr>
      <w:r>
        <w:rPr>
          <w:u w:val="single"/>
        </w:rPr>
        <w:t>Inventory question</w:t>
      </w:r>
      <w:r w:rsidR="00B12254">
        <w:rPr>
          <w:u w:val="single"/>
        </w:rPr>
        <w:t xml:space="preserve"> </w:t>
      </w:r>
      <w:commentRangeStart w:id="0"/>
      <w:r w:rsidR="00B12254">
        <w:rPr>
          <w:u w:val="single"/>
        </w:rPr>
        <w:t>(2 points)</w:t>
      </w:r>
      <w:commentRangeEnd w:id="0"/>
      <w:r w:rsidR="003244DB">
        <w:rPr>
          <w:rStyle w:val="CommentReference"/>
          <w:rFonts w:cs="Mangal"/>
        </w:rPr>
        <w:commentReference w:id="0"/>
      </w:r>
    </w:p>
    <w:p w14:paraId="3CE58116" w14:textId="77777777" w:rsidR="00635402" w:rsidRDefault="00635402">
      <w:pPr>
        <w:rPr>
          <w:u w:val="single"/>
        </w:rPr>
      </w:pPr>
    </w:p>
    <w:p w14:paraId="4B95F605" w14:textId="77777777" w:rsidR="00635402" w:rsidRDefault="002B6CF4">
      <w:r>
        <w:t xml:space="preserve">In class, we discussed six </w:t>
      </w:r>
      <w:r w:rsidR="003F67E3">
        <w:t>possible inventory accounting systems, using</w:t>
      </w:r>
      <w:r>
        <w:t xml:space="preserve"> (FIFO, LIFO, average cost) x (p</w:t>
      </w:r>
      <w:r w:rsidR="003F67E3">
        <w:t>erpetual, periodic).  For the following starting inventory and transactions, determine what the lowest and highest possible COGS is across these</w:t>
      </w:r>
      <w:r>
        <w:t xml:space="preserve"> six</w:t>
      </w:r>
      <w:r w:rsidR="003F67E3">
        <w:t xml:space="preserve"> system choices.</w:t>
      </w:r>
    </w:p>
    <w:p w14:paraId="530BED2A" w14:textId="77777777" w:rsidR="00635402" w:rsidRDefault="00635402"/>
    <w:p w14:paraId="0B964BD0" w14:textId="47D5434A" w:rsidR="00635402" w:rsidRDefault="003F67E3">
      <w:r>
        <w:t>1.</w:t>
      </w:r>
      <w:r w:rsidR="002B6CF4">
        <w:t xml:space="preserve"> Started with 50 units at $</w:t>
      </w:r>
      <w:r w:rsidR="002B32D4">
        <w:t>8</w:t>
      </w:r>
      <w:r w:rsidR="002B6CF4">
        <w:t>0 each.</w:t>
      </w:r>
    </w:p>
    <w:p w14:paraId="1FE71F17" w14:textId="77777777" w:rsidR="002B6CF4" w:rsidRDefault="003F67E3">
      <w:r>
        <w:t>2.</w:t>
      </w:r>
      <w:r w:rsidR="002B6CF4">
        <w:t xml:space="preserve"> Sold 20 units.</w:t>
      </w:r>
    </w:p>
    <w:p w14:paraId="00A07580" w14:textId="0E05A578" w:rsidR="00635402" w:rsidRDefault="003F67E3">
      <w:r>
        <w:t>3.</w:t>
      </w:r>
      <w:r w:rsidR="002B6CF4">
        <w:t xml:space="preserve"> Purchased 50 units at</w:t>
      </w:r>
      <w:r w:rsidR="006C2FC9">
        <w:t xml:space="preserve"> $</w:t>
      </w:r>
      <w:r w:rsidR="002B32D4">
        <w:t>128</w:t>
      </w:r>
      <w:r w:rsidR="002B6CF4">
        <w:t xml:space="preserve"> each</w:t>
      </w:r>
    </w:p>
    <w:p w14:paraId="26C84F32" w14:textId="77777777" w:rsidR="00635402" w:rsidRDefault="003F67E3">
      <w:r>
        <w:t>4.</w:t>
      </w:r>
      <w:r w:rsidR="002B6CF4">
        <w:t xml:space="preserve"> Sold 60 units.</w:t>
      </w:r>
    </w:p>
    <w:p w14:paraId="6D9304A2" w14:textId="3DE1F1E1" w:rsidR="00635402" w:rsidRDefault="003F67E3">
      <w:r>
        <w:t>5.</w:t>
      </w:r>
      <w:r w:rsidR="002B6CF4">
        <w:t xml:space="preserve"> Purchased 50 units </w:t>
      </w:r>
      <w:r w:rsidR="006C2FC9">
        <w:t>at $</w:t>
      </w:r>
      <w:r w:rsidR="002B32D4">
        <w:t>96</w:t>
      </w:r>
      <w:r w:rsidR="002B6CF4">
        <w:t xml:space="preserve"> each</w:t>
      </w:r>
    </w:p>
    <w:p w14:paraId="3C25AD88" w14:textId="77777777" w:rsidR="00635402" w:rsidRDefault="002B6CF4">
      <w:r>
        <w:t>6. Sold 50 units.</w:t>
      </w:r>
    </w:p>
    <w:p w14:paraId="0C7F0138" w14:textId="77777777" w:rsidR="002B6CF4" w:rsidRDefault="002B6CF4"/>
    <w:p w14:paraId="7F5E6767" w14:textId="77777777" w:rsidR="002B6CF4" w:rsidRDefault="002B6CF4"/>
    <w:tbl>
      <w:tblPr>
        <w:tblStyle w:val="TableGrid"/>
        <w:tblW w:w="0" w:type="auto"/>
        <w:tblLook w:val="04A0" w:firstRow="1" w:lastRow="0" w:firstColumn="1" w:lastColumn="0" w:noHBand="0" w:noVBand="1"/>
      </w:tblPr>
      <w:tblGrid>
        <w:gridCol w:w="2539"/>
        <w:gridCol w:w="2573"/>
        <w:gridCol w:w="2538"/>
        <w:gridCol w:w="2538"/>
      </w:tblGrid>
      <w:tr w:rsidR="002E464D" w:rsidRPr="002E464D" w14:paraId="421FDB72" w14:textId="77777777" w:rsidTr="002E464D">
        <w:tc>
          <w:tcPr>
            <w:tcW w:w="2539" w:type="dxa"/>
          </w:tcPr>
          <w:p w14:paraId="63B1E51C" w14:textId="77777777" w:rsidR="002E464D" w:rsidRPr="002E464D" w:rsidRDefault="002E464D">
            <w:pPr>
              <w:rPr>
                <w:color w:val="4472C4" w:themeColor="accent5"/>
              </w:rPr>
            </w:pPr>
          </w:p>
        </w:tc>
        <w:tc>
          <w:tcPr>
            <w:tcW w:w="2573" w:type="dxa"/>
          </w:tcPr>
          <w:p w14:paraId="3AAF4567" w14:textId="77777777" w:rsidR="002E464D" w:rsidRPr="002E464D" w:rsidRDefault="002E464D">
            <w:pPr>
              <w:rPr>
                <w:color w:val="4472C4" w:themeColor="accent5"/>
              </w:rPr>
            </w:pPr>
            <w:r w:rsidRPr="002E464D">
              <w:rPr>
                <w:color w:val="4472C4" w:themeColor="accent5"/>
              </w:rPr>
              <w:t>Perpetual FIFO</w:t>
            </w:r>
          </w:p>
        </w:tc>
        <w:tc>
          <w:tcPr>
            <w:tcW w:w="2538" w:type="dxa"/>
          </w:tcPr>
          <w:p w14:paraId="71065F46" w14:textId="77777777" w:rsidR="002E464D" w:rsidRPr="002E464D" w:rsidRDefault="002E464D">
            <w:pPr>
              <w:rPr>
                <w:color w:val="4472C4" w:themeColor="accent5"/>
              </w:rPr>
            </w:pPr>
            <w:r w:rsidRPr="002E464D">
              <w:rPr>
                <w:color w:val="4472C4" w:themeColor="accent5"/>
              </w:rPr>
              <w:t>Perpetual LIFO</w:t>
            </w:r>
          </w:p>
        </w:tc>
        <w:tc>
          <w:tcPr>
            <w:tcW w:w="2538" w:type="dxa"/>
          </w:tcPr>
          <w:p w14:paraId="1C81FEFC" w14:textId="77777777" w:rsidR="002E464D" w:rsidRPr="002E464D" w:rsidRDefault="002E464D">
            <w:pPr>
              <w:rPr>
                <w:color w:val="4472C4" w:themeColor="accent5"/>
              </w:rPr>
            </w:pPr>
            <w:r w:rsidRPr="002E464D">
              <w:rPr>
                <w:color w:val="4472C4" w:themeColor="accent5"/>
              </w:rPr>
              <w:t>Perpetual average cost</w:t>
            </w:r>
          </w:p>
        </w:tc>
      </w:tr>
      <w:tr w:rsidR="002E464D" w:rsidRPr="002E464D" w14:paraId="35D07793" w14:textId="77777777" w:rsidTr="002E464D">
        <w:tc>
          <w:tcPr>
            <w:tcW w:w="2539" w:type="dxa"/>
          </w:tcPr>
          <w:p w14:paraId="5B326C58" w14:textId="77777777" w:rsidR="002E464D" w:rsidRPr="002E464D" w:rsidRDefault="002E464D">
            <w:pPr>
              <w:rPr>
                <w:color w:val="4472C4" w:themeColor="accent5"/>
              </w:rPr>
            </w:pPr>
            <w:r w:rsidRPr="002E464D">
              <w:rPr>
                <w:color w:val="4472C4" w:themeColor="accent5"/>
              </w:rPr>
              <w:t>1</w:t>
            </w:r>
          </w:p>
        </w:tc>
        <w:tc>
          <w:tcPr>
            <w:tcW w:w="2573" w:type="dxa"/>
          </w:tcPr>
          <w:p w14:paraId="38735432" w14:textId="7F218DD5" w:rsidR="002E464D" w:rsidRPr="002E464D" w:rsidRDefault="002E464D">
            <w:pPr>
              <w:rPr>
                <w:color w:val="4472C4" w:themeColor="accent5"/>
              </w:rPr>
            </w:pPr>
            <w:r w:rsidRPr="002E464D">
              <w:rPr>
                <w:color w:val="4472C4" w:themeColor="accent5"/>
              </w:rPr>
              <w:t xml:space="preserve">50 @ </w:t>
            </w:r>
            <w:r w:rsidR="002B32D4">
              <w:rPr>
                <w:color w:val="4472C4" w:themeColor="accent5"/>
              </w:rPr>
              <w:t>8</w:t>
            </w:r>
            <w:r w:rsidRPr="002E464D">
              <w:rPr>
                <w:color w:val="4472C4" w:themeColor="accent5"/>
              </w:rPr>
              <w:t>0</w:t>
            </w:r>
          </w:p>
        </w:tc>
        <w:tc>
          <w:tcPr>
            <w:tcW w:w="2538" w:type="dxa"/>
          </w:tcPr>
          <w:p w14:paraId="3B71CF0B" w14:textId="4B20FFFC" w:rsidR="002E464D" w:rsidRPr="002E464D" w:rsidRDefault="002E464D">
            <w:pPr>
              <w:rPr>
                <w:color w:val="4472C4" w:themeColor="accent5"/>
              </w:rPr>
            </w:pPr>
            <w:r w:rsidRPr="002E464D">
              <w:rPr>
                <w:color w:val="4472C4" w:themeColor="accent5"/>
              </w:rPr>
              <w:t xml:space="preserve">50 @ </w:t>
            </w:r>
            <w:r w:rsidR="002B32D4">
              <w:rPr>
                <w:color w:val="4472C4" w:themeColor="accent5"/>
              </w:rPr>
              <w:t>80</w:t>
            </w:r>
          </w:p>
        </w:tc>
        <w:tc>
          <w:tcPr>
            <w:tcW w:w="2538" w:type="dxa"/>
          </w:tcPr>
          <w:p w14:paraId="18209A69" w14:textId="3502A104" w:rsidR="002E464D" w:rsidRPr="002E464D" w:rsidRDefault="002E464D">
            <w:pPr>
              <w:rPr>
                <w:color w:val="4472C4" w:themeColor="accent5"/>
              </w:rPr>
            </w:pPr>
            <w:r w:rsidRPr="002E464D">
              <w:rPr>
                <w:color w:val="4472C4" w:themeColor="accent5"/>
              </w:rPr>
              <w:t xml:space="preserve">50 @ </w:t>
            </w:r>
            <w:r w:rsidR="002B32D4">
              <w:rPr>
                <w:color w:val="4472C4" w:themeColor="accent5"/>
              </w:rPr>
              <w:t>80</w:t>
            </w:r>
          </w:p>
        </w:tc>
      </w:tr>
      <w:tr w:rsidR="002E464D" w:rsidRPr="002E464D" w14:paraId="4D13ACCA" w14:textId="77777777" w:rsidTr="002E464D">
        <w:tc>
          <w:tcPr>
            <w:tcW w:w="2539" w:type="dxa"/>
          </w:tcPr>
          <w:p w14:paraId="19881C8B" w14:textId="77777777" w:rsidR="002E464D" w:rsidRPr="002E464D" w:rsidRDefault="002E464D">
            <w:pPr>
              <w:rPr>
                <w:color w:val="4472C4" w:themeColor="accent5"/>
              </w:rPr>
            </w:pPr>
            <w:r w:rsidRPr="002E464D">
              <w:rPr>
                <w:color w:val="4472C4" w:themeColor="accent5"/>
              </w:rPr>
              <w:t>2</w:t>
            </w:r>
          </w:p>
        </w:tc>
        <w:tc>
          <w:tcPr>
            <w:tcW w:w="2573" w:type="dxa"/>
          </w:tcPr>
          <w:p w14:paraId="15BBC7AE" w14:textId="6DE42404" w:rsidR="002E464D" w:rsidRPr="002E464D" w:rsidRDefault="002E464D">
            <w:pPr>
              <w:rPr>
                <w:color w:val="4472C4" w:themeColor="accent5"/>
              </w:rPr>
            </w:pPr>
            <w:r w:rsidRPr="002E464D">
              <w:rPr>
                <w:color w:val="4472C4" w:themeColor="accent5"/>
              </w:rPr>
              <w:t xml:space="preserve">30 @ </w:t>
            </w:r>
            <w:r w:rsidR="002B32D4">
              <w:rPr>
                <w:color w:val="4472C4" w:themeColor="accent5"/>
              </w:rPr>
              <w:t>8</w:t>
            </w:r>
            <w:r w:rsidRPr="002E464D">
              <w:rPr>
                <w:color w:val="4472C4" w:themeColor="accent5"/>
              </w:rPr>
              <w:t>0</w:t>
            </w:r>
          </w:p>
        </w:tc>
        <w:tc>
          <w:tcPr>
            <w:tcW w:w="2538" w:type="dxa"/>
          </w:tcPr>
          <w:p w14:paraId="5FE8271D" w14:textId="3C9C9CAA" w:rsidR="002E464D" w:rsidRPr="002E464D" w:rsidRDefault="002E464D">
            <w:pPr>
              <w:rPr>
                <w:color w:val="4472C4" w:themeColor="accent5"/>
              </w:rPr>
            </w:pPr>
            <w:r w:rsidRPr="002E464D">
              <w:rPr>
                <w:color w:val="4472C4" w:themeColor="accent5"/>
              </w:rPr>
              <w:t xml:space="preserve">30 @ </w:t>
            </w:r>
            <w:r w:rsidR="002B32D4">
              <w:rPr>
                <w:color w:val="4472C4" w:themeColor="accent5"/>
              </w:rPr>
              <w:t>80</w:t>
            </w:r>
          </w:p>
        </w:tc>
        <w:tc>
          <w:tcPr>
            <w:tcW w:w="2538" w:type="dxa"/>
          </w:tcPr>
          <w:p w14:paraId="6831799F" w14:textId="69103E85" w:rsidR="002E464D" w:rsidRPr="002E464D" w:rsidRDefault="002E464D">
            <w:pPr>
              <w:rPr>
                <w:color w:val="4472C4" w:themeColor="accent5"/>
              </w:rPr>
            </w:pPr>
            <w:r w:rsidRPr="002E464D">
              <w:rPr>
                <w:color w:val="4472C4" w:themeColor="accent5"/>
              </w:rPr>
              <w:t xml:space="preserve">30 @ </w:t>
            </w:r>
            <w:r w:rsidR="002B32D4">
              <w:rPr>
                <w:color w:val="4472C4" w:themeColor="accent5"/>
              </w:rPr>
              <w:t>80</w:t>
            </w:r>
          </w:p>
        </w:tc>
      </w:tr>
      <w:tr w:rsidR="002E464D" w:rsidRPr="002E464D" w14:paraId="38F220DA" w14:textId="77777777" w:rsidTr="002E464D">
        <w:tc>
          <w:tcPr>
            <w:tcW w:w="2539" w:type="dxa"/>
          </w:tcPr>
          <w:p w14:paraId="06D8AE08" w14:textId="77777777" w:rsidR="002E464D" w:rsidRPr="002E464D" w:rsidRDefault="002E464D">
            <w:pPr>
              <w:rPr>
                <w:color w:val="4472C4" w:themeColor="accent5"/>
              </w:rPr>
            </w:pPr>
            <w:r w:rsidRPr="002E464D">
              <w:rPr>
                <w:color w:val="4472C4" w:themeColor="accent5"/>
              </w:rPr>
              <w:t>3</w:t>
            </w:r>
          </w:p>
        </w:tc>
        <w:tc>
          <w:tcPr>
            <w:tcW w:w="2573" w:type="dxa"/>
          </w:tcPr>
          <w:p w14:paraId="41992AEB" w14:textId="54ED9D4F" w:rsidR="002E464D" w:rsidRPr="002E464D" w:rsidRDefault="002E464D">
            <w:pPr>
              <w:rPr>
                <w:color w:val="4472C4" w:themeColor="accent5"/>
              </w:rPr>
            </w:pPr>
            <w:r w:rsidRPr="002E464D">
              <w:rPr>
                <w:color w:val="4472C4" w:themeColor="accent5"/>
              </w:rPr>
              <w:t xml:space="preserve">30 @ </w:t>
            </w:r>
            <w:r w:rsidR="002B32D4">
              <w:rPr>
                <w:color w:val="4472C4" w:themeColor="accent5"/>
              </w:rPr>
              <w:t>8</w:t>
            </w:r>
            <w:r w:rsidRPr="002E464D">
              <w:rPr>
                <w:color w:val="4472C4" w:themeColor="accent5"/>
              </w:rPr>
              <w:t xml:space="preserve">0, 50 @ </w:t>
            </w:r>
            <w:r w:rsidR="002B32D4">
              <w:rPr>
                <w:color w:val="4472C4" w:themeColor="accent5"/>
              </w:rPr>
              <w:t>128</w:t>
            </w:r>
          </w:p>
        </w:tc>
        <w:tc>
          <w:tcPr>
            <w:tcW w:w="2538" w:type="dxa"/>
          </w:tcPr>
          <w:p w14:paraId="2C105430" w14:textId="2BE8BBE0" w:rsidR="002E464D" w:rsidRPr="002E464D" w:rsidRDefault="002E464D">
            <w:pPr>
              <w:rPr>
                <w:color w:val="4472C4" w:themeColor="accent5"/>
              </w:rPr>
            </w:pPr>
            <w:r w:rsidRPr="002E464D">
              <w:rPr>
                <w:color w:val="4472C4" w:themeColor="accent5"/>
              </w:rPr>
              <w:t xml:space="preserve">50 @ </w:t>
            </w:r>
            <w:r w:rsidR="002B32D4">
              <w:rPr>
                <w:color w:val="4472C4" w:themeColor="accent5"/>
              </w:rPr>
              <w:t>128</w:t>
            </w:r>
            <w:r w:rsidRPr="002E464D">
              <w:rPr>
                <w:color w:val="4472C4" w:themeColor="accent5"/>
              </w:rPr>
              <w:t xml:space="preserve">, 30 @ </w:t>
            </w:r>
            <w:r w:rsidR="002B32D4">
              <w:rPr>
                <w:color w:val="4472C4" w:themeColor="accent5"/>
              </w:rPr>
              <w:t>80</w:t>
            </w:r>
          </w:p>
        </w:tc>
        <w:tc>
          <w:tcPr>
            <w:tcW w:w="2538" w:type="dxa"/>
          </w:tcPr>
          <w:p w14:paraId="097A6E9D" w14:textId="781DB3F9" w:rsidR="002E464D" w:rsidRPr="002E464D" w:rsidRDefault="002E464D">
            <w:pPr>
              <w:rPr>
                <w:color w:val="4472C4" w:themeColor="accent5"/>
              </w:rPr>
            </w:pPr>
            <w:r w:rsidRPr="002E464D">
              <w:rPr>
                <w:color w:val="4472C4" w:themeColor="accent5"/>
              </w:rPr>
              <w:t xml:space="preserve">80 @ </w:t>
            </w:r>
            <w:r w:rsidR="002B32D4">
              <w:rPr>
                <w:color w:val="4472C4" w:themeColor="accent5"/>
              </w:rPr>
              <w:t>110</w:t>
            </w:r>
          </w:p>
        </w:tc>
      </w:tr>
      <w:tr w:rsidR="002E464D" w:rsidRPr="002E464D" w14:paraId="11C072D7" w14:textId="77777777" w:rsidTr="002E464D">
        <w:tc>
          <w:tcPr>
            <w:tcW w:w="2539" w:type="dxa"/>
          </w:tcPr>
          <w:p w14:paraId="3BE31E4B" w14:textId="77777777" w:rsidR="002E464D" w:rsidRPr="002E464D" w:rsidRDefault="002E464D">
            <w:pPr>
              <w:rPr>
                <w:color w:val="4472C4" w:themeColor="accent5"/>
              </w:rPr>
            </w:pPr>
            <w:r w:rsidRPr="002E464D">
              <w:rPr>
                <w:color w:val="4472C4" w:themeColor="accent5"/>
              </w:rPr>
              <w:t>4</w:t>
            </w:r>
          </w:p>
        </w:tc>
        <w:tc>
          <w:tcPr>
            <w:tcW w:w="2573" w:type="dxa"/>
          </w:tcPr>
          <w:p w14:paraId="130DE795" w14:textId="46754057" w:rsidR="002E464D" w:rsidRPr="002E464D" w:rsidRDefault="002E464D">
            <w:pPr>
              <w:rPr>
                <w:color w:val="4472C4" w:themeColor="accent5"/>
              </w:rPr>
            </w:pPr>
            <w:r w:rsidRPr="002E464D">
              <w:rPr>
                <w:color w:val="4472C4" w:themeColor="accent5"/>
              </w:rPr>
              <w:t xml:space="preserve">20 @ </w:t>
            </w:r>
            <w:r w:rsidR="002B32D4">
              <w:rPr>
                <w:color w:val="4472C4" w:themeColor="accent5"/>
              </w:rPr>
              <w:t>120</w:t>
            </w:r>
          </w:p>
        </w:tc>
        <w:tc>
          <w:tcPr>
            <w:tcW w:w="2538" w:type="dxa"/>
          </w:tcPr>
          <w:p w14:paraId="177A0BC9" w14:textId="48894F2C" w:rsidR="002E464D" w:rsidRPr="002E464D" w:rsidRDefault="002E464D">
            <w:pPr>
              <w:rPr>
                <w:color w:val="4472C4" w:themeColor="accent5"/>
              </w:rPr>
            </w:pPr>
            <w:r w:rsidRPr="002E464D">
              <w:rPr>
                <w:color w:val="4472C4" w:themeColor="accent5"/>
              </w:rPr>
              <w:t xml:space="preserve">20 @ </w:t>
            </w:r>
            <w:r w:rsidR="002B32D4">
              <w:rPr>
                <w:color w:val="4472C4" w:themeColor="accent5"/>
              </w:rPr>
              <w:t>80</w:t>
            </w:r>
          </w:p>
        </w:tc>
        <w:tc>
          <w:tcPr>
            <w:tcW w:w="2538" w:type="dxa"/>
          </w:tcPr>
          <w:p w14:paraId="4022CA87" w14:textId="5592DBBC" w:rsidR="002E464D" w:rsidRPr="002E464D" w:rsidRDefault="002E464D">
            <w:pPr>
              <w:rPr>
                <w:color w:val="4472C4" w:themeColor="accent5"/>
              </w:rPr>
            </w:pPr>
            <w:r w:rsidRPr="002E464D">
              <w:rPr>
                <w:color w:val="4472C4" w:themeColor="accent5"/>
              </w:rPr>
              <w:t xml:space="preserve">20 @ </w:t>
            </w:r>
            <w:r w:rsidR="002B32D4">
              <w:rPr>
                <w:color w:val="4472C4" w:themeColor="accent5"/>
              </w:rPr>
              <w:t>110</w:t>
            </w:r>
          </w:p>
        </w:tc>
      </w:tr>
      <w:tr w:rsidR="002E464D" w:rsidRPr="002E464D" w14:paraId="0DE1DF5D" w14:textId="77777777" w:rsidTr="002E464D">
        <w:tc>
          <w:tcPr>
            <w:tcW w:w="2539" w:type="dxa"/>
          </w:tcPr>
          <w:p w14:paraId="1F0254C2" w14:textId="77777777" w:rsidR="002E464D" w:rsidRPr="002E464D" w:rsidRDefault="002E464D">
            <w:pPr>
              <w:rPr>
                <w:color w:val="4472C4" w:themeColor="accent5"/>
              </w:rPr>
            </w:pPr>
            <w:r w:rsidRPr="002E464D">
              <w:rPr>
                <w:color w:val="4472C4" w:themeColor="accent5"/>
              </w:rPr>
              <w:t>5</w:t>
            </w:r>
          </w:p>
        </w:tc>
        <w:tc>
          <w:tcPr>
            <w:tcW w:w="2573" w:type="dxa"/>
          </w:tcPr>
          <w:p w14:paraId="377A6839" w14:textId="279E82DA" w:rsidR="002E464D" w:rsidRPr="002E464D" w:rsidRDefault="002E464D">
            <w:pPr>
              <w:rPr>
                <w:color w:val="4472C4" w:themeColor="accent5"/>
              </w:rPr>
            </w:pPr>
            <w:r w:rsidRPr="002E464D">
              <w:rPr>
                <w:color w:val="4472C4" w:themeColor="accent5"/>
              </w:rPr>
              <w:t xml:space="preserve">20 @ </w:t>
            </w:r>
            <w:r w:rsidR="002B32D4">
              <w:rPr>
                <w:color w:val="4472C4" w:themeColor="accent5"/>
              </w:rPr>
              <w:t>128</w:t>
            </w:r>
            <w:r w:rsidRPr="002E464D">
              <w:rPr>
                <w:color w:val="4472C4" w:themeColor="accent5"/>
              </w:rPr>
              <w:t xml:space="preserve">, 50 @ </w:t>
            </w:r>
            <w:r w:rsidR="002B32D4">
              <w:rPr>
                <w:color w:val="4472C4" w:themeColor="accent5"/>
              </w:rPr>
              <w:t>96</w:t>
            </w:r>
          </w:p>
        </w:tc>
        <w:tc>
          <w:tcPr>
            <w:tcW w:w="2538" w:type="dxa"/>
          </w:tcPr>
          <w:p w14:paraId="6DFD3310" w14:textId="7C7A10B2" w:rsidR="002E464D" w:rsidRPr="002E464D" w:rsidRDefault="002E464D">
            <w:pPr>
              <w:rPr>
                <w:color w:val="4472C4" w:themeColor="accent5"/>
              </w:rPr>
            </w:pPr>
            <w:r w:rsidRPr="002E464D">
              <w:rPr>
                <w:color w:val="4472C4" w:themeColor="accent5"/>
              </w:rPr>
              <w:t xml:space="preserve">50 @ </w:t>
            </w:r>
            <w:r w:rsidR="002B32D4">
              <w:rPr>
                <w:color w:val="4472C4" w:themeColor="accent5"/>
              </w:rPr>
              <w:t>96</w:t>
            </w:r>
            <w:r w:rsidRPr="002E464D">
              <w:rPr>
                <w:color w:val="4472C4" w:themeColor="accent5"/>
              </w:rPr>
              <w:t xml:space="preserve">, 20 @ </w:t>
            </w:r>
            <w:r w:rsidR="002B32D4">
              <w:rPr>
                <w:color w:val="4472C4" w:themeColor="accent5"/>
              </w:rPr>
              <w:t>80</w:t>
            </w:r>
          </w:p>
        </w:tc>
        <w:tc>
          <w:tcPr>
            <w:tcW w:w="2538" w:type="dxa"/>
          </w:tcPr>
          <w:p w14:paraId="259CDD48" w14:textId="56DDA418" w:rsidR="002E464D" w:rsidRPr="002E464D" w:rsidRDefault="002E464D">
            <w:pPr>
              <w:rPr>
                <w:color w:val="4472C4" w:themeColor="accent5"/>
              </w:rPr>
            </w:pPr>
            <w:r w:rsidRPr="002E464D">
              <w:rPr>
                <w:color w:val="4472C4" w:themeColor="accent5"/>
              </w:rPr>
              <w:t xml:space="preserve">70 @ </w:t>
            </w:r>
            <w:r w:rsidR="002B32D4">
              <w:rPr>
                <w:color w:val="4472C4" w:themeColor="accent5"/>
              </w:rPr>
              <w:t>100</w:t>
            </w:r>
          </w:p>
        </w:tc>
      </w:tr>
      <w:tr w:rsidR="002E464D" w:rsidRPr="002E464D" w14:paraId="7D33CFD8" w14:textId="77777777" w:rsidTr="002E464D">
        <w:tc>
          <w:tcPr>
            <w:tcW w:w="2539" w:type="dxa"/>
          </w:tcPr>
          <w:p w14:paraId="2D429BD9" w14:textId="77777777" w:rsidR="002E464D" w:rsidRPr="002E464D" w:rsidRDefault="002E464D">
            <w:pPr>
              <w:rPr>
                <w:color w:val="4472C4" w:themeColor="accent5"/>
              </w:rPr>
            </w:pPr>
            <w:r w:rsidRPr="002E464D">
              <w:rPr>
                <w:color w:val="4472C4" w:themeColor="accent5"/>
              </w:rPr>
              <w:t>6</w:t>
            </w:r>
          </w:p>
        </w:tc>
        <w:tc>
          <w:tcPr>
            <w:tcW w:w="2573" w:type="dxa"/>
          </w:tcPr>
          <w:p w14:paraId="6F619BFC" w14:textId="6C57E2E4" w:rsidR="002E464D" w:rsidRPr="002E464D" w:rsidRDefault="002E464D">
            <w:pPr>
              <w:rPr>
                <w:color w:val="4472C4" w:themeColor="accent5"/>
              </w:rPr>
            </w:pPr>
            <w:r w:rsidRPr="002E464D">
              <w:rPr>
                <w:color w:val="4472C4" w:themeColor="accent5"/>
              </w:rPr>
              <w:t xml:space="preserve">20 @ </w:t>
            </w:r>
            <w:r w:rsidR="002B32D4">
              <w:rPr>
                <w:color w:val="4472C4" w:themeColor="accent5"/>
              </w:rPr>
              <w:t>96</w:t>
            </w:r>
          </w:p>
        </w:tc>
        <w:tc>
          <w:tcPr>
            <w:tcW w:w="2538" w:type="dxa"/>
          </w:tcPr>
          <w:p w14:paraId="0EAA0FAE" w14:textId="195660BD" w:rsidR="002E464D" w:rsidRPr="002E464D" w:rsidRDefault="002E464D">
            <w:pPr>
              <w:rPr>
                <w:color w:val="4472C4" w:themeColor="accent5"/>
              </w:rPr>
            </w:pPr>
            <w:r w:rsidRPr="002E464D">
              <w:rPr>
                <w:color w:val="4472C4" w:themeColor="accent5"/>
              </w:rPr>
              <w:t xml:space="preserve">20 @ </w:t>
            </w:r>
            <w:r w:rsidR="002B32D4">
              <w:rPr>
                <w:color w:val="4472C4" w:themeColor="accent5"/>
              </w:rPr>
              <w:t>80</w:t>
            </w:r>
          </w:p>
        </w:tc>
        <w:tc>
          <w:tcPr>
            <w:tcW w:w="2538" w:type="dxa"/>
          </w:tcPr>
          <w:p w14:paraId="2D2846E0" w14:textId="4C25D9B2" w:rsidR="002E464D" w:rsidRPr="002E464D" w:rsidRDefault="002E464D">
            <w:pPr>
              <w:rPr>
                <w:color w:val="4472C4" w:themeColor="accent5"/>
              </w:rPr>
            </w:pPr>
            <w:r w:rsidRPr="002E464D">
              <w:rPr>
                <w:color w:val="4472C4" w:themeColor="accent5"/>
              </w:rPr>
              <w:t xml:space="preserve">20 @ </w:t>
            </w:r>
            <w:r w:rsidR="002B32D4">
              <w:rPr>
                <w:color w:val="4472C4" w:themeColor="accent5"/>
              </w:rPr>
              <w:t>100</w:t>
            </w:r>
          </w:p>
        </w:tc>
      </w:tr>
    </w:tbl>
    <w:p w14:paraId="47B994D1" w14:textId="77777777" w:rsidR="002B6CF4" w:rsidRPr="002E464D" w:rsidRDefault="002B6CF4">
      <w:pPr>
        <w:rPr>
          <w:color w:val="4472C4" w:themeColor="accent5"/>
        </w:rPr>
      </w:pPr>
    </w:p>
    <w:p w14:paraId="358EFFCD" w14:textId="77777777" w:rsidR="006C2FC9" w:rsidRPr="002E464D" w:rsidRDefault="006C2FC9">
      <w:pPr>
        <w:rPr>
          <w:color w:val="4472C4" w:themeColor="accent5"/>
        </w:rPr>
      </w:pPr>
    </w:p>
    <w:p w14:paraId="1EBAC1D6" w14:textId="77777777" w:rsidR="002E464D" w:rsidRPr="002E464D" w:rsidRDefault="002E464D">
      <w:pPr>
        <w:rPr>
          <w:color w:val="4472C4" w:themeColor="accent5"/>
        </w:rPr>
      </w:pPr>
      <w:r w:rsidRPr="002E464D">
        <w:rPr>
          <w:color w:val="4472C4" w:themeColor="accent5"/>
        </w:rPr>
        <w:t>COGS:</w:t>
      </w:r>
    </w:p>
    <w:p w14:paraId="7DAB03A2" w14:textId="77777777" w:rsidR="002E464D" w:rsidRPr="002E464D" w:rsidRDefault="002E464D" w:rsidP="002E464D">
      <w:pPr>
        <w:pStyle w:val="ListParagraph"/>
        <w:numPr>
          <w:ilvl w:val="0"/>
          <w:numId w:val="1"/>
        </w:numPr>
        <w:rPr>
          <w:color w:val="4472C4" w:themeColor="accent5"/>
        </w:rPr>
      </w:pPr>
      <w:r w:rsidRPr="002E464D">
        <w:rPr>
          <w:color w:val="4472C4" w:themeColor="accent5"/>
        </w:rPr>
        <w:t>= Starting inventory + purchases – remaining inventory</w:t>
      </w:r>
    </w:p>
    <w:p w14:paraId="24B75657" w14:textId="0DE181AD" w:rsidR="002E464D" w:rsidRPr="002E464D" w:rsidRDefault="002E464D" w:rsidP="002B32D4">
      <w:pPr>
        <w:pStyle w:val="ListParagraph"/>
        <w:numPr>
          <w:ilvl w:val="1"/>
          <w:numId w:val="1"/>
        </w:numPr>
        <w:rPr>
          <w:color w:val="4472C4" w:themeColor="accent5"/>
        </w:rPr>
      </w:pPr>
      <w:r w:rsidRPr="002E464D">
        <w:rPr>
          <w:color w:val="4472C4" w:themeColor="accent5"/>
        </w:rPr>
        <w:t xml:space="preserve">= </w:t>
      </w:r>
      <w:r w:rsidR="002B32D4">
        <w:rPr>
          <w:color w:val="4472C4" w:themeColor="accent5"/>
        </w:rPr>
        <w:t>4,</w:t>
      </w:r>
      <w:r w:rsidRPr="002E464D">
        <w:rPr>
          <w:color w:val="4472C4" w:themeColor="accent5"/>
        </w:rPr>
        <w:t xml:space="preserve">000 + </w:t>
      </w:r>
      <w:r w:rsidR="002B32D4">
        <w:rPr>
          <w:color w:val="4472C4" w:themeColor="accent5"/>
        </w:rPr>
        <w:t>11,2</w:t>
      </w:r>
      <w:r w:rsidRPr="002E464D">
        <w:rPr>
          <w:color w:val="4472C4" w:themeColor="accent5"/>
        </w:rPr>
        <w:t>00 – Remaining inventory</w:t>
      </w:r>
    </w:p>
    <w:p w14:paraId="2877FE15" w14:textId="31388F12" w:rsidR="002E464D" w:rsidRPr="002E464D" w:rsidRDefault="002E464D" w:rsidP="002B32D4">
      <w:pPr>
        <w:pStyle w:val="ListParagraph"/>
        <w:numPr>
          <w:ilvl w:val="1"/>
          <w:numId w:val="1"/>
        </w:numPr>
        <w:rPr>
          <w:color w:val="4472C4" w:themeColor="accent5"/>
        </w:rPr>
      </w:pPr>
      <w:r w:rsidRPr="002E464D">
        <w:rPr>
          <w:color w:val="4472C4" w:themeColor="accent5"/>
        </w:rPr>
        <w:t xml:space="preserve">= </w:t>
      </w:r>
      <w:r w:rsidR="002B32D4">
        <w:rPr>
          <w:color w:val="4472C4" w:themeColor="accent5"/>
        </w:rPr>
        <w:t>15</w:t>
      </w:r>
      <w:r w:rsidRPr="002E464D">
        <w:rPr>
          <w:color w:val="4472C4" w:themeColor="accent5"/>
        </w:rPr>
        <w:t>,</w:t>
      </w:r>
      <w:r w:rsidR="002B32D4">
        <w:rPr>
          <w:color w:val="4472C4" w:themeColor="accent5"/>
        </w:rPr>
        <w:t>2</w:t>
      </w:r>
      <w:r w:rsidRPr="002E464D">
        <w:rPr>
          <w:color w:val="4472C4" w:themeColor="accent5"/>
        </w:rPr>
        <w:t>00 – Remaining inventory</w:t>
      </w:r>
    </w:p>
    <w:p w14:paraId="1E5B2121" w14:textId="10C46CEE" w:rsidR="002E464D" w:rsidRPr="002E464D" w:rsidRDefault="002E464D" w:rsidP="002B32D4">
      <w:pPr>
        <w:pStyle w:val="ListParagraph"/>
        <w:numPr>
          <w:ilvl w:val="1"/>
          <w:numId w:val="1"/>
        </w:numPr>
        <w:rPr>
          <w:color w:val="4472C4" w:themeColor="accent5"/>
        </w:rPr>
      </w:pPr>
      <w:r w:rsidRPr="002E464D">
        <w:rPr>
          <w:color w:val="4472C4" w:themeColor="accent5"/>
        </w:rPr>
        <w:t xml:space="preserve">Perpetual FIFO = </w:t>
      </w:r>
      <w:r w:rsidR="002B32D4">
        <w:rPr>
          <w:color w:val="4472C4" w:themeColor="accent5"/>
        </w:rPr>
        <w:t>15</w:t>
      </w:r>
      <w:r w:rsidR="000A4780">
        <w:rPr>
          <w:color w:val="4472C4" w:themeColor="accent5"/>
        </w:rPr>
        <w:t>,</w:t>
      </w:r>
      <w:r w:rsidR="002B32D4">
        <w:rPr>
          <w:color w:val="4472C4" w:themeColor="accent5"/>
        </w:rPr>
        <w:t>2</w:t>
      </w:r>
      <w:r w:rsidR="000A4780">
        <w:rPr>
          <w:color w:val="4472C4" w:themeColor="accent5"/>
        </w:rPr>
        <w:t>00</w:t>
      </w:r>
      <w:r w:rsidRPr="002E464D">
        <w:rPr>
          <w:color w:val="4472C4" w:themeColor="accent5"/>
        </w:rPr>
        <w:t xml:space="preserve"> – </w:t>
      </w:r>
      <w:r w:rsidR="000A4780">
        <w:rPr>
          <w:color w:val="4472C4" w:themeColor="accent5"/>
        </w:rPr>
        <w:t>1,</w:t>
      </w:r>
      <w:r w:rsidR="002B32D4">
        <w:rPr>
          <w:color w:val="4472C4" w:themeColor="accent5"/>
        </w:rPr>
        <w:t>920</w:t>
      </w:r>
      <w:r w:rsidRPr="002E464D">
        <w:rPr>
          <w:color w:val="4472C4" w:themeColor="accent5"/>
        </w:rPr>
        <w:t xml:space="preserve"> = </w:t>
      </w:r>
      <w:r w:rsidR="002B32D4">
        <w:rPr>
          <w:b/>
          <w:bCs/>
          <w:color w:val="4472C4" w:themeColor="accent5"/>
        </w:rPr>
        <w:t>13,280</w:t>
      </w:r>
    </w:p>
    <w:p w14:paraId="2912BCFE" w14:textId="0BFD0467" w:rsidR="002E464D" w:rsidRPr="002E464D" w:rsidRDefault="002E464D" w:rsidP="002B32D4">
      <w:pPr>
        <w:pStyle w:val="ListParagraph"/>
        <w:numPr>
          <w:ilvl w:val="1"/>
          <w:numId w:val="1"/>
        </w:numPr>
        <w:rPr>
          <w:color w:val="4472C4" w:themeColor="accent5"/>
        </w:rPr>
      </w:pPr>
      <w:r w:rsidRPr="002E464D">
        <w:rPr>
          <w:color w:val="4472C4" w:themeColor="accent5"/>
        </w:rPr>
        <w:t xml:space="preserve">Perpetual LIFO = </w:t>
      </w:r>
      <w:r w:rsidR="002B32D4">
        <w:rPr>
          <w:color w:val="4472C4" w:themeColor="accent5"/>
        </w:rPr>
        <w:t>15</w:t>
      </w:r>
      <w:r w:rsidR="000A4780">
        <w:rPr>
          <w:color w:val="4472C4" w:themeColor="accent5"/>
        </w:rPr>
        <w:t>,</w:t>
      </w:r>
      <w:r w:rsidR="002B32D4">
        <w:rPr>
          <w:color w:val="4472C4" w:themeColor="accent5"/>
        </w:rPr>
        <w:t>2</w:t>
      </w:r>
      <w:r w:rsidR="000A4780">
        <w:rPr>
          <w:color w:val="4472C4" w:themeColor="accent5"/>
        </w:rPr>
        <w:t>00</w:t>
      </w:r>
      <w:r w:rsidRPr="002E464D">
        <w:rPr>
          <w:color w:val="4472C4" w:themeColor="accent5"/>
        </w:rPr>
        <w:t xml:space="preserve"> – </w:t>
      </w:r>
      <w:r w:rsidR="002B32D4">
        <w:rPr>
          <w:color w:val="4472C4" w:themeColor="accent5"/>
        </w:rPr>
        <w:t>1,6</w:t>
      </w:r>
      <w:r w:rsidRPr="002E464D">
        <w:rPr>
          <w:color w:val="4472C4" w:themeColor="accent5"/>
        </w:rPr>
        <w:t xml:space="preserve">00 = </w:t>
      </w:r>
      <w:r w:rsidR="002B32D4">
        <w:rPr>
          <w:b/>
          <w:bCs/>
          <w:color w:val="4472C4" w:themeColor="accent5"/>
        </w:rPr>
        <w:t>13,600</w:t>
      </w:r>
    </w:p>
    <w:p w14:paraId="5436460D" w14:textId="05BA7AC4" w:rsidR="006C2FC9" w:rsidRPr="002B32D4" w:rsidRDefault="002E464D" w:rsidP="002B32D4">
      <w:pPr>
        <w:pStyle w:val="ListParagraph"/>
        <w:numPr>
          <w:ilvl w:val="1"/>
          <w:numId w:val="1"/>
        </w:numPr>
        <w:rPr>
          <w:color w:val="4472C4" w:themeColor="accent5"/>
        </w:rPr>
      </w:pPr>
      <w:r w:rsidRPr="002E464D">
        <w:rPr>
          <w:color w:val="4472C4" w:themeColor="accent5"/>
        </w:rPr>
        <w:t xml:space="preserve">Perpetual average cost = </w:t>
      </w:r>
      <w:r w:rsidR="002B32D4">
        <w:rPr>
          <w:color w:val="4472C4" w:themeColor="accent5"/>
        </w:rPr>
        <w:t>15,200</w:t>
      </w:r>
      <w:r w:rsidRPr="002E464D">
        <w:rPr>
          <w:color w:val="4472C4" w:themeColor="accent5"/>
        </w:rPr>
        <w:t xml:space="preserve"> –</w:t>
      </w:r>
      <w:r w:rsidR="001C1EA1">
        <w:rPr>
          <w:color w:val="4472C4" w:themeColor="accent5"/>
        </w:rPr>
        <w:t xml:space="preserve"> 2</w:t>
      </w:r>
      <w:r w:rsidR="002B32D4">
        <w:rPr>
          <w:color w:val="4472C4" w:themeColor="accent5"/>
        </w:rPr>
        <w:t>,0</w:t>
      </w:r>
      <w:r w:rsidR="001C1EA1">
        <w:rPr>
          <w:color w:val="4472C4" w:themeColor="accent5"/>
        </w:rPr>
        <w:t>00</w:t>
      </w:r>
      <w:r w:rsidR="002B32D4">
        <w:rPr>
          <w:color w:val="4472C4" w:themeColor="accent5"/>
        </w:rPr>
        <w:t xml:space="preserve"> </w:t>
      </w:r>
      <w:r w:rsidRPr="002E464D">
        <w:rPr>
          <w:color w:val="4472C4" w:themeColor="accent5"/>
        </w:rPr>
        <w:t xml:space="preserve">= </w:t>
      </w:r>
      <w:r w:rsidR="002B32D4" w:rsidRPr="002B32D4">
        <w:rPr>
          <w:b/>
          <w:bCs/>
          <w:color w:val="4472C4" w:themeColor="accent5"/>
        </w:rPr>
        <w:t>13,200</w:t>
      </w:r>
    </w:p>
    <w:p w14:paraId="5E046CFF" w14:textId="3ED86397" w:rsidR="002B32D4" w:rsidRDefault="002B32D4" w:rsidP="001C1EA1">
      <w:pPr>
        <w:pStyle w:val="ListParagraph"/>
        <w:numPr>
          <w:ilvl w:val="0"/>
          <w:numId w:val="1"/>
        </w:numPr>
        <w:rPr>
          <w:color w:val="4472C4" w:themeColor="accent5"/>
        </w:rPr>
      </w:pPr>
      <w:r>
        <w:rPr>
          <w:color w:val="4472C4" w:themeColor="accent5"/>
        </w:rPr>
        <w:t>= Cost per sale</w:t>
      </w:r>
    </w:p>
    <w:p w14:paraId="75B4BF57" w14:textId="32093F97" w:rsidR="002B32D4" w:rsidRDefault="002B32D4" w:rsidP="002B32D4">
      <w:pPr>
        <w:pStyle w:val="ListParagraph"/>
        <w:numPr>
          <w:ilvl w:val="1"/>
          <w:numId w:val="1"/>
        </w:numPr>
        <w:rPr>
          <w:color w:val="4472C4" w:themeColor="accent5"/>
        </w:rPr>
      </w:pPr>
      <w:r>
        <w:rPr>
          <w:color w:val="4472C4" w:themeColor="accent5"/>
        </w:rPr>
        <w:t xml:space="preserve">Periodic FIFO = Always the same as Perpetual FIFO = </w:t>
      </w:r>
      <w:r>
        <w:rPr>
          <w:b/>
          <w:bCs/>
          <w:color w:val="4472C4" w:themeColor="accent5"/>
        </w:rPr>
        <w:t>13,280</w:t>
      </w:r>
    </w:p>
    <w:p w14:paraId="27D962B7" w14:textId="52E23EE5" w:rsidR="002B32D4" w:rsidRDefault="002B32D4" w:rsidP="002B32D4">
      <w:pPr>
        <w:pStyle w:val="ListParagraph"/>
        <w:numPr>
          <w:ilvl w:val="1"/>
          <w:numId w:val="1"/>
        </w:numPr>
        <w:rPr>
          <w:color w:val="4472C4" w:themeColor="accent5"/>
        </w:rPr>
      </w:pPr>
      <w:r>
        <w:rPr>
          <w:color w:val="4472C4" w:themeColor="accent5"/>
        </w:rPr>
        <w:t xml:space="preserve">Periodic LIFO = 50 </w:t>
      </w:r>
      <w:r w:rsidR="00FA07FA">
        <w:rPr>
          <w:color w:val="4472C4" w:themeColor="accent5"/>
        </w:rPr>
        <w:t xml:space="preserve">@ 96 + 50 @ 128 + 30 @ 80 = </w:t>
      </w:r>
      <w:r w:rsidR="00FA07FA" w:rsidRPr="00FA07FA">
        <w:rPr>
          <w:b/>
          <w:bCs/>
          <w:color w:val="4472C4" w:themeColor="accent5"/>
        </w:rPr>
        <w:t>13,600</w:t>
      </w:r>
    </w:p>
    <w:p w14:paraId="5D9CD88B" w14:textId="2C3DD9B0" w:rsidR="002B32D4" w:rsidRPr="001C1EA1" w:rsidRDefault="002B32D4" w:rsidP="002B32D4">
      <w:pPr>
        <w:pStyle w:val="ListParagraph"/>
        <w:numPr>
          <w:ilvl w:val="1"/>
          <w:numId w:val="1"/>
        </w:numPr>
        <w:rPr>
          <w:color w:val="4472C4" w:themeColor="accent5"/>
        </w:rPr>
      </w:pPr>
      <w:r>
        <w:rPr>
          <w:color w:val="4472C4" w:themeColor="accent5"/>
        </w:rPr>
        <w:t xml:space="preserve">Period Average cost = 101.33 </w:t>
      </w:r>
      <w:r w:rsidR="00FA07FA">
        <w:rPr>
          <w:color w:val="4472C4" w:themeColor="accent5"/>
        </w:rPr>
        <w:t>@</w:t>
      </w:r>
      <w:r>
        <w:rPr>
          <w:color w:val="4472C4" w:themeColor="accent5"/>
        </w:rPr>
        <w:t xml:space="preserve"> 130 = </w:t>
      </w:r>
      <w:r w:rsidRPr="002B32D4">
        <w:rPr>
          <w:b/>
          <w:bCs/>
          <w:color w:val="4472C4" w:themeColor="accent5"/>
        </w:rPr>
        <w:t>13,173.33</w:t>
      </w:r>
    </w:p>
    <w:p w14:paraId="412A4C8B" w14:textId="77777777" w:rsidR="006C2FC9" w:rsidRDefault="006C2FC9"/>
    <w:p w14:paraId="0EC758F3" w14:textId="77777777" w:rsidR="002E464D" w:rsidRDefault="002E464D"/>
    <w:p w14:paraId="10AC1DB3" w14:textId="77777777" w:rsidR="002E464D" w:rsidRDefault="002E464D"/>
    <w:p w14:paraId="35FC1114" w14:textId="77777777" w:rsidR="006C2FC9" w:rsidRDefault="006C2FC9"/>
    <w:tbl>
      <w:tblPr>
        <w:tblStyle w:val="PlainTable1"/>
        <w:tblW w:w="10215" w:type="dxa"/>
        <w:tblLook w:val="02A0" w:firstRow="1" w:lastRow="0" w:firstColumn="1" w:lastColumn="0" w:noHBand="1" w:noVBand="0"/>
      </w:tblPr>
      <w:tblGrid>
        <w:gridCol w:w="2547"/>
        <w:gridCol w:w="2151"/>
        <w:gridCol w:w="2970"/>
        <w:gridCol w:w="2547"/>
      </w:tblGrid>
      <w:tr w:rsidR="006C2FC9" w14:paraId="2E2D6856" w14:textId="77777777" w:rsidTr="006C2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27F6D2" w14:textId="77777777" w:rsidR="006C2FC9" w:rsidRDefault="006C2FC9">
            <w:r>
              <w:t>Lowest COGS:</w:t>
            </w:r>
          </w:p>
        </w:tc>
        <w:tc>
          <w:tcPr>
            <w:cnfStyle w:val="000010000000" w:firstRow="0" w:lastRow="0" w:firstColumn="0" w:lastColumn="0" w:oddVBand="1" w:evenVBand="0" w:oddHBand="0" w:evenHBand="0" w:firstRowFirstColumn="0" w:firstRowLastColumn="0" w:lastRowFirstColumn="0" w:lastRowLastColumn="0"/>
            <w:tcW w:w="2151" w:type="dxa"/>
          </w:tcPr>
          <w:p w14:paraId="7234A5DC" w14:textId="38592963" w:rsidR="006C2FC9" w:rsidRPr="002E464D" w:rsidRDefault="00FA07FA">
            <w:pPr>
              <w:rPr>
                <w:color w:val="4472C4" w:themeColor="accent5"/>
              </w:rPr>
            </w:pPr>
            <w:r>
              <w:rPr>
                <w:color w:val="4472C4" w:themeColor="accent5"/>
              </w:rPr>
              <w:t>13,600</w:t>
            </w:r>
          </w:p>
        </w:tc>
        <w:tc>
          <w:tcPr>
            <w:tcW w:w="2970" w:type="dxa"/>
          </w:tcPr>
          <w:p w14:paraId="68CBE560" w14:textId="77777777" w:rsidR="006C2FC9" w:rsidRPr="006C2FC9" w:rsidRDefault="006C2FC9">
            <w:pPr>
              <w:cnfStyle w:val="100000000000" w:firstRow="1" w:lastRow="0" w:firstColumn="0" w:lastColumn="0" w:oddVBand="0" w:evenVBand="0" w:oddHBand="0" w:evenHBand="0" w:firstRowFirstColumn="0" w:firstRowLastColumn="0" w:lastRowFirstColumn="0" w:lastRowLastColumn="0"/>
            </w:pPr>
            <w:r w:rsidRPr="006C2FC9">
              <w:t>System for lowest COGS:</w:t>
            </w:r>
          </w:p>
        </w:tc>
        <w:tc>
          <w:tcPr>
            <w:cnfStyle w:val="000010000000" w:firstRow="0" w:lastRow="0" w:firstColumn="0" w:lastColumn="0" w:oddVBand="1" w:evenVBand="0" w:oddHBand="0" w:evenHBand="0" w:firstRowFirstColumn="0" w:firstRowLastColumn="0" w:lastRowFirstColumn="0" w:lastRowLastColumn="0"/>
            <w:tcW w:w="2547" w:type="dxa"/>
          </w:tcPr>
          <w:p w14:paraId="712B88D6" w14:textId="54FBDA08" w:rsidR="006C2FC9" w:rsidRPr="00072B71" w:rsidRDefault="00FA07FA">
            <w:pPr>
              <w:rPr>
                <w:color w:val="4472C4" w:themeColor="accent5"/>
              </w:rPr>
            </w:pPr>
            <w:r>
              <w:rPr>
                <w:color w:val="4472C4" w:themeColor="accent5"/>
              </w:rPr>
              <w:t>Periodic Average Cost</w:t>
            </w:r>
          </w:p>
        </w:tc>
      </w:tr>
      <w:tr w:rsidR="006C2FC9" w14:paraId="61A02707" w14:textId="77777777" w:rsidTr="006C2FC9">
        <w:tc>
          <w:tcPr>
            <w:cnfStyle w:val="001000000000" w:firstRow="0" w:lastRow="0" w:firstColumn="1" w:lastColumn="0" w:oddVBand="0" w:evenVBand="0" w:oddHBand="0" w:evenHBand="0" w:firstRowFirstColumn="0" w:firstRowLastColumn="0" w:lastRowFirstColumn="0" w:lastRowLastColumn="0"/>
            <w:tcW w:w="2547" w:type="dxa"/>
          </w:tcPr>
          <w:p w14:paraId="1F0888FB" w14:textId="77777777" w:rsidR="006C2FC9" w:rsidRDefault="006C2FC9">
            <w:r>
              <w:t>Highest COGS:</w:t>
            </w:r>
          </w:p>
        </w:tc>
        <w:tc>
          <w:tcPr>
            <w:cnfStyle w:val="000010000000" w:firstRow="0" w:lastRow="0" w:firstColumn="0" w:lastColumn="0" w:oddVBand="1" w:evenVBand="0" w:oddHBand="0" w:evenHBand="0" w:firstRowFirstColumn="0" w:firstRowLastColumn="0" w:lastRowFirstColumn="0" w:lastRowLastColumn="0"/>
            <w:tcW w:w="2151" w:type="dxa"/>
          </w:tcPr>
          <w:p w14:paraId="257BC194" w14:textId="1FE464F8" w:rsidR="006C2FC9" w:rsidRPr="00072B71" w:rsidRDefault="00FA07FA" w:rsidP="005A0CEB">
            <w:pPr>
              <w:rPr>
                <w:b/>
                <w:color w:val="4472C4" w:themeColor="accent5"/>
              </w:rPr>
            </w:pPr>
            <w:r>
              <w:rPr>
                <w:b/>
                <w:color w:val="4472C4" w:themeColor="accent5"/>
              </w:rPr>
              <w:t>13,173.33</w:t>
            </w:r>
          </w:p>
        </w:tc>
        <w:tc>
          <w:tcPr>
            <w:tcW w:w="2970" w:type="dxa"/>
          </w:tcPr>
          <w:p w14:paraId="17BE0DAE" w14:textId="77777777" w:rsidR="006C2FC9" w:rsidRPr="006C2FC9" w:rsidRDefault="006C2FC9">
            <w:pPr>
              <w:cnfStyle w:val="000000000000" w:firstRow="0" w:lastRow="0" w:firstColumn="0" w:lastColumn="0" w:oddVBand="0" w:evenVBand="0" w:oddHBand="0" w:evenHBand="0" w:firstRowFirstColumn="0" w:firstRowLastColumn="0" w:lastRowFirstColumn="0" w:lastRowLastColumn="0"/>
              <w:rPr>
                <w:b/>
              </w:rPr>
            </w:pPr>
            <w:r w:rsidRPr="006C2FC9">
              <w:rPr>
                <w:b/>
              </w:rPr>
              <w:t>System for highest COGS:</w:t>
            </w:r>
          </w:p>
        </w:tc>
        <w:tc>
          <w:tcPr>
            <w:cnfStyle w:val="000010000000" w:firstRow="0" w:lastRow="0" w:firstColumn="0" w:lastColumn="0" w:oddVBand="1" w:evenVBand="0" w:oddHBand="0" w:evenHBand="0" w:firstRowFirstColumn="0" w:firstRowLastColumn="0" w:lastRowFirstColumn="0" w:lastRowLastColumn="0"/>
            <w:tcW w:w="2547" w:type="dxa"/>
          </w:tcPr>
          <w:p w14:paraId="711F878D" w14:textId="586F9537" w:rsidR="006C2FC9" w:rsidRPr="00FA07FA" w:rsidRDefault="00FA07FA">
            <w:pPr>
              <w:rPr>
                <w:b/>
                <w:bCs/>
                <w:color w:val="4472C4" w:themeColor="accent5"/>
              </w:rPr>
            </w:pPr>
            <w:r>
              <w:rPr>
                <w:b/>
                <w:bCs/>
                <w:color w:val="4472C4" w:themeColor="accent5"/>
              </w:rPr>
              <w:t>LIFO (either system)</w:t>
            </w:r>
          </w:p>
        </w:tc>
      </w:tr>
    </w:tbl>
    <w:p w14:paraId="58062CA8" w14:textId="77777777" w:rsidR="002B6CF4" w:rsidRDefault="002B6CF4">
      <w:pPr>
        <w:widowControl/>
        <w:suppressAutoHyphens w:val="0"/>
      </w:pPr>
      <w:r>
        <w:br w:type="page"/>
      </w:r>
    </w:p>
    <w:p w14:paraId="7FEBFF32" w14:textId="77777777" w:rsidR="00B12254" w:rsidRDefault="003F67E3">
      <w:pPr>
        <w:rPr>
          <w:u w:val="single"/>
        </w:rPr>
      </w:pPr>
      <w:r>
        <w:rPr>
          <w:u w:val="single"/>
        </w:rPr>
        <w:lastRenderedPageBreak/>
        <w:t>PP&amp;E Question</w:t>
      </w:r>
      <w:r w:rsidR="00B12254">
        <w:rPr>
          <w:u w:val="single"/>
        </w:rPr>
        <w:t xml:space="preserve">, Part A </w:t>
      </w:r>
      <w:commentRangeStart w:id="1"/>
      <w:r w:rsidR="00B12254">
        <w:rPr>
          <w:u w:val="single"/>
        </w:rPr>
        <w:t>(3 points)</w:t>
      </w:r>
      <w:commentRangeEnd w:id="1"/>
      <w:r w:rsidR="003244DB">
        <w:rPr>
          <w:rStyle w:val="CommentReference"/>
          <w:rFonts w:cs="Mangal"/>
        </w:rPr>
        <w:commentReference w:id="1"/>
      </w:r>
    </w:p>
    <w:p w14:paraId="1BAA1D06" w14:textId="77777777" w:rsidR="00B12254" w:rsidRDefault="00B12254">
      <w:pPr>
        <w:rPr>
          <w:u w:val="single"/>
        </w:rPr>
      </w:pPr>
    </w:p>
    <w:p w14:paraId="68282C65" w14:textId="07C0321F" w:rsidR="00635402" w:rsidRDefault="003F67E3">
      <w:r>
        <w:t>The Hill Company purchased some eq</w:t>
      </w:r>
      <w:r w:rsidR="006C2FC9">
        <w:t xml:space="preserve">uipment </w:t>
      </w:r>
      <w:r w:rsidR="00FA07FA">
        <w:t>on</w:t>
      </w:r>
      <w:r w:rsidR="006C2FC9">
        <w:t xml:space="preserve"> July 1, 2008, for $16</w:t>
      </w:r>
      <w:r>
        <w:t xml:space="preserve">,000. Hill also paid freight costs </w:t>
      </w:r>
      <w:r w:rsidRPr="007249AC">
        <w:rPr>
          <w:highlight w:val="cyan"/>
        </w:rPr>
        <w:t>$1,500</w:t>
      </w:r>
      <w:r>
        <w:t xml:space="preserve"> and sales tax </w:t>
      </w:r>
      <w:r w:rsidRPr="007249AC">
        <w:rPr>
          <w:highlight w:val="cyan"/>
        </w:rPr>
        <w:t>$500</w:t>
      </w:r>
      <w:r>
        <w:t xml:space="preserve"> in addition. Hill’s fiscal year starts from January 1. Upon receipt, the</w:t>
      </w:r>
      <w:r w:rsidR="006C2FC9">
        <w:t xml:space="preserve"> </w:t>
      </w:r>
      <w:r>
        <w:t>following expenditures were incurred in 2008:</w:t>
      </w:r>
    </w:p>
    <w:p w14:paraId="683C07E3" w14:textId="77777777" w:rsidR="00635402" w:rsidRDefault="00635402"/>
    <w:tbl>
      <w:tblPr>
        <w:tblStyle w:val="PlainTable1"/>
        <w:tblW w:w="8028" w:type="dxa"/>
        <w:tblLook w:val="0400" w:firstRow="0" w:lastRow="0" w:firstColumn="0" w:lastColumn="0" w:noHBand="0" w:noVBand="1"/>
      </w:tblPr>
      <w:tblGrid>
        <w:gridCol w:w="5688"/>
        <w:gridCol w:w="2340"/>
      </w:tblGrid>
      <w:tr w:rsidR="006C2FC9" w14:paraId="15B78FD4" w14:textId="77777777" w:rsidTr="006C2FC9">
        <w:trPr>
          <w:cnfStyle w:val="000000100000" w:firstRow="0" w:lastRow="0" w:firstColumn="0" w:lastColumn="0" w:oddVBand="0" w:evenVBand="0" w:oddHBand="1" w:evenHBand="0" w:firstRowFirstColumn="0" w:firstRowLastColumn="0" w:lastRowFirstColumn="0" w:lastRowLastColumn="0"/>
        </w:trPr>
        <w:tc>
          <w:tcPr>
            <w:tcW w:w="5688" w:type="dxa"/>
          </w:tcPr>
          <w:p w14:paraId="62079091" w14:textId="77777777" w:rsidR="006C2FC9" w:rsidRDefault="006C2FC9">
            <w:r>
              <w:t>Major repair prior to use</w:t>
            </w:r>
          </w:p>
        </w:tc>
        <w:tc>
          <w:tcPr>
            <w:tcW w:w="2340" w:type="dxa"/>
          </w:tcPr>
          <w:p w14:paraId="5741E33D" w14:textId="77777777" w:rsidR="006C2FC9" w:rsidRDefault="006C2FC9">
            <w:r w:rsidRPr="007249AC">
              <w:rPr>
                <w:highlight w:val="cyan"/>
              </w:rPr>
              <w:t>$1,000</w:t>
            </w:r>
          </w:p>
        </w:tc>
      </w:tr>
      <w:tr w:rsidR="006C2FC9" w14:paraId="21E2AD31" w14:textId="77777777" w:rsidTr="006C2FC9">
        <w:tc>
          <w:tcPr>
            <w:tcW w:w="5688" w:type="dxa"/>
          </w:tcPr>
          <w:p w14:paraId="3E156460" w14:textId="77777777" w:rsidR="006C2FC9" w:rsidRDefault="006C2FC9">
            <w:r>
              <w:t>Installation</w:t>
            </w:r>
          </w:p>
        </w:tc>
        <w:tc>
          <w:tcPr>
            <w:tcW w:w="2340" w:type="dxa"/>
          </w:tcPr>
          <w:p w14:paraId="55B87EBB" w14:textId="77777777" w:rsidR="006C2FC9" w:rsidRDefault="006C2FC9">
            <w:r w:rsidRPr="007249AC">
              <w:rPr>
                <w:highlight w:val="cyan"/>
              </w:rPr>
              <w:t>$600</w:t>
            </w:r>
          </w:p>
        </w:tc>
      </w:tr>
      <w:tr w:rsidR="006C2FC9" w14:paraId="41D22C8B" w14:textId="77777777" w:rsidTr="006C2FC9">
        <w:trPr>
          <w:cnfStyle w:val="000000100000" w:firstRow="0" w:lastRow="0" w:firstColumn="0" w:lastColumn="0" w:oddVBand="0" w:evenVBand="0" w:oddHBand="1" w:evenHBand="0" w:firstRowFirstColumn="0" w:firstRowLastColumn="0" w:lastRowFirstColumn="0" w:lastRowLastColumn="0"/>
        </w:trPr>
        <w:tc>
          <w:tcPr>
            <w:tcW w:w="5688" w:type="dxa"/>
          </w:tcPr>
          <w:p w14:paraId="101B01CD" w14:textId="77777777" w:rsidR="006C2FC9" w:rsidRDefault="006C2FC9">
            <w:r>
              <w:t>Testing prior to use</w:t>
            </w:r>
          </w:p>
        </w:tc>
        <w:tc>
          <w:tcPr>
            <w:tcW w:w="2340" w:type="dxa"/>
          </w:tcPr>
          <w:p w14:paraId="7720D682" w14:textId="77777777" w:rsidR="006C2FC9" w:rsidRDefault="006C2FC9">
            <w:r w:rsidRPr="007249AC">
              <w:rPr>
                <w:highlight w:val="cyan"/>
              </w:rPr>
              <w:t>$400</w:t>
            </w:r>
          </w:p>
        </w:tc>
      </w:tr>
      <w:tr w:rsidR="006C2FC9" w14:paraId="10D0D1C4" w14:textId="77777777" w:rsidTr="006C2FC9">
        <w:tc>
          <w:tcPr>
            <w:tcW w:w="5688" w:type="dxa"/>
          </w:tcPr>
          <w:p w14:paraId="370398F4" w14:textId="77777777" w:rsidR="006C2FC9" w:rsidRDefault="006C2FC9">
            <w:r>
              <w:t>Operating costs after start of production</w:t>
            </w:r>
          </w:p>
        </w:tc>
        <w:tc>
          <w:tcPr>
            <w:tcW w:w="2340" w:type="dxa"/>
          </w:tcPr>
          <w:p w14:paraId="200F94EB" w14:textId="6460CA49" w:rsidR="006C2FC9" w:rsidRDefault="006C2FC9">
            <w:r w:rsidRPr="007249AC">
              <w:rPr>
                <w:highlight w:val="red"/>
              </w:rPr>
              <w:t>$</w:t>
            </w:r>
            <w:r w:rsidR="00FA07FA">
              <w:rPr>
                <w:highlight w:val="red"/>
              </w:rPr>
              <w:t>2</w:t>
            </w:r>
            <w:r w:rsidRPr="007249AC">
              <w:rPr>
                <w:highlight w:val="red"/>
              </w:rPr>
              <w:t>,</w:t>
            </w:r>
            <w:r w:rsidR="00FA07FA">
              <w:rPr>
                <w:highlight w:val="red"/>
              </w:rPr>
              <w:t>0</w:t>
            </w:r>
            <w:r w:rsidRPr="007249AC">
              <w:rPr>
                <w:highlight w:val="red"/>
              </w:rPr>
              <w:t>00</w:t>
            </w:r>
          </w:p>
        </w:tc>
      </w:tr>
      <w:tr w:rsidR="006C2FC9" w14:paraId="7C9F2C53" w14:textId="77777777" w:rsidTr="006C2FC9">
        <w:trPr>
          <w:cnfStyle w:val="000000100000" w:firstRow="0" w:lastRow="0" w:firstColumn="0" w:lastColumn="0" w:oddVBand="0" w:evenVBand="0" w:oddHBand="1" w:evenHBand="0" w:firstRowFirstColumn="0" w:firstRowLastColumn="0" w:lastRowFirstColumn="0" w:lastRowLastColumn="0"/>
        </w:trPr>
        <w:tc>
          <w:tcPr>
            <w:tcW w:w="5688" w:type="dxa"/>
          </w:tcPr>
          <w:p w14:paraId="360C103D" w14:textId="77777777" w:rsidR="006C2FC9" w:rsidRDefault="006C2FC9">
            <w:r>
              <w:t>Minor repair and maintenance after start of production</w:t>
            </w:r>
          </w:p>
        </w:tc>
        <w:tc>
          <w:tcPr>
            <w:tcW w:w="2340" w:type="dxa"/>
          </w:tcPr>
          <w:p w14:paraId="07D7CB4E" w14:textId="77777777" w:rsidR="006C2FC9" w:rsidRDefault="006C2FC9">
            <w:r w:rsidRPr="007249AC">
              <w:rPr>
                <w:highlight w:val="red"/>
              </w:rPr>
              <w:t>$500</w:t>
            </w:r>
          </w:p>
        </w:tc>
      </w:tr>
    </w:tbl>
    <w:p w14:paraId="017466D0" w14:textId="77777777" w:rsidR="006C2FC9" w:rsidRDefault="006C2FC9"/>
    <w:p w14:paraId="6998FA60" w14:textId="77777777" w:rsidR="00635402" w:rsidRDefault="003F67E3">
      <w:r>
        <w:t>The company adopted a straight-line depreciation method and estimated that the useful</w:t>
      </w:r>
      <w:r w:rsidR="006C2FC9">
        <w:t xml:space="preserve"> </w:t>
      </w:r>
      <w:r>
        <w:t xml:space="preserve">life of the equipment to be ten years from July 1, 2008. Hill expects that the </w:t>
      </w:r>
      <w:r w:rsidR="006C2FC9">
        <w:t xml:space="preserve">salvage </w:t>
      </w:r>
      <w:r>
        <w:t>value of the equipment will be $2,000 at the end of the useful life.</w:t>
      </w:r>
    </w:p>
    <w:p w14:paraId="2CCA134A" w14:textId="77777777" w:rsidR="006C2FC9" w:rsidRDefault="006C2FC9"/>
    <w:p w14:paraId="5F52B7BA" w14:textId="77777777" w:rsidR="00635402" w:rsidRDefault="003F67E3">
      <w:r>
        <w:t>Required:</w:t>
      </w:r>
    </w:p>
    <w:p w14:paraId="035F3D1B" w14:textId="77777777" w:rsidR="00635402" w:rsidRDefault="003F67E3">
      <w:r>
        <w:t>1) Determine the total depreciable value of the equipment</w:t>
      </w:r>
      <w:r w:rsidR="006C2FC9">
        <w:t>, i.e., the total amount that will be depreciated over the life of the equipment</w:t>
      </w:r>
      <w:r w:rsidR="00B12254">
        <w:t>.</w:t>
      </w:r>
    </w:p>
    <w:p w14:paraId="77B7E2D0" w14:textId="77777777" w:rsidR="006C2FC9" w:rsidRDefault="006C2FC9"/>
    <w:p w14:paraId="648533A1" w14:textId="77777777" w:rsidR="007249AC" w:rsidRDefault="00072B71">
      <w:pPr>
        <w:rPr>
          <w:color w:val="4472C4" w:themeColor="accent5"/>
        </w:rPr>
      </w:pPr>
      <w:r>
        <w:rPr>
          <w:color w:val="4472C4" w:themeColor="accent5"/>
        </w:rPr>
        <w:t xml:space="preserve">Cost </w:t>
      </w:r>
      <w:r w:rsidRPr="00072B71">
        <w:rPr>
          <w:color w:val="4472C4" w:themeColor="accent5"/>
        </w:rPr>
        <w:t xml:space="preserve">= 16,000 + 1,500 + 500 + 1,000 + 600 + 400 = </w:t>
      </w:r>
      <w:r>
        <w:rPr>
          <w:color w:val="4472C4" w:themeColor="accent5"/>
        </w:rPr>
        <w:t>20,000</w:t>
      </w:r>
    </w:p>
    <w:p w14:paraId="651AA13F" w14:textId="77777777" w:rsidR="00072B71" w:rsidRPr="007249AC" w:rsidRDefault="007249AC">
      <w:pPr>
        <w:rPr>
          <w:color w:val="4472C4" w:themeColor="accent5"/>
        </w:rPr>
      </w:pPr>
      <w:r>
        <w:rPr>
          <w:color w:val="4472C4" w:themeColor="accent5"/>
        </w:rPr>
        <w:t>(Include the blue highlighted costs, ignore red highlighted costs)</w:t>
      </w:r>
    </w:p>
    <w:p w14:paraId="49A8CE18" w14:textId="77777777" w:rsidR="006C2FC9" w:rsidRPr="00072B71" w:rsidRDefault="00072B71">
      <w:pPr>
        <w:rPr>
          <w:color w:val="4472C4" w:themeColor="accent5"/>
        </w:rPr>
      </w:pPr>
      <w:r w:rsidRPr="00072B71">
        <w:rPr>
          <w:color w:val="4472C4" w:themeColor="accent5"/>
        </w:rPr>
        <w:t xml:space="preserve">Total depreciation over the equipment’s life = cost – salvage value = </w:t>
      </w:r>
      <w:r>
        <w:rPr>
          <w:color w:val="4472C4" w:themeColor="accent5"/>
        </w:rPr>
        <w:t>20,000 – 2,000 = 18,000</w:t>
      </w:r>
    </w:p>
    <w:p w14:paraId="6BF7513F" w14:textId="77777777" w:rsidR="006C2FC9" w:rsidRDefault="006C2FC9"/>
    <w:tbl>
      <w:tblPr>
        <w:tblStyle w:val="PlainTable1"/>
        <w:tblW w:w="4869" w:type="dxa"/>
        <w:tblLook w:val="02A0" w:firstRow="1" w:lastRow="0" w:firstColumn="1" w:lastColumn="0" w:noHBand="1" w:noVBand="0"/>
      </w:tblPr>
      <w:tblGrid>
        <w:gridCol w:w="2718"/>
        <w:gridCol w:w="2151"/>
      </w:tblGrid>
      <w:tr w:rsidR="006C2FC9" w14:paraId="232875A8" w14:textId="77777777" w:rsidTr="006C2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9F4D89F" w14:textId="77777777" w:rsidR="006C2FC9" w:rsidRDefault="006C2FC9" w:rsidP="00057DAD">
            <w:r>
              <w:t>Total depreciable value:</w:t>
            </w:r>
          </w:p>
        </w:tc>
        <w:tc>
          <w:tcPr>
            <w:cnfStyle w:val="000010000000" w:firstRow="0" w:lastRow="0" w:firstColumn="0" w:lastColumn="0" w:oddVBand="1" w:evenVBand="0" w:oddHBand="0" w:evenHBand="0" w:firstRowFirstColumn="0" w:firstRowLastColumn="0" w:lastRowFirstColumn="0" w:lastRowLastColumn="0"/>
            <w:tcW w:w="2151" w:type="dxa"/>
          </w:tcPr>
          <w:p w14:paraId="1127139F" w14:textId="77777777" w:rsidR="006C2FC9" w:rsidRPr="00072B71" w:rsidRDefault="00072B71" w:rsidP="00057DAD">
            <w:pPr>
              <w:rPr>
                <w:color w:val="4472C4" w:themeColor="accent5"/>
              </w:rPr>
            </w:pPr>
            <w:r>
              <w:rPr>
                <w:color w:val="4472C4" w:themeColor="accent5"/>
              </w:rPr>
              <w:t>18,000</w:t>
            </w:r>
          </w:p>
        </w:tc>
      </w:tr>
    </w:tbl>
    <w:p w14:paraId="62367F07" w14:textId="77777777" w:rsidR="006C2FC9" w:rsidRDefault="006C2FC9"/>
    <w:p w14:paraId="5FB416F1" w14:textId="77777777" w:rsidR="00635402" w:rsidRDefault="003F67E3">
      <w:r>
        <w:t>2) Determine the book value of the equipment</w:t>
      </w:r>
      <w:r w:rsidR="00B12254">
        <w:t xml:space="preserve"> </w:t>
      </w:r>
      <w:proofErr w:type="gramStart"/>
      <w:r w:rsidR="00B12254">
        <w:t>at</w:t>
      </w:r>
      <w:proofErr w:type="gramEnd"/>
      <w:r w:rsidR="00B12254">
        <w:t xml:space="preserve"> December 31, 2008.</w:t>
      </w:r>
    </w:p>
    <w:p w14:paraId="1AE10EDE" w14:textId="77777777" w:rsidR="006C2FC9" w:rsidRDefault="006C2FC9"/>
    <w:p w14:paraId="47042307" w14:textId="77777777" w:rsidR="006C2FC9" w:rsidRPr="00072B71" w:rsidRDefault="00072B71">
      <w:pPr>
        <w:rPr>
          <w:color w:val="4472C4" w:themeColor="accent5"/>
        </w:rPr>
      </w:pPr>
      <w:r w:rsidRPr="00072B71">
        <w:rPr>
          <w:color w:val="4472C4" w:themeColor="accent5"/>
        </w:rPr>
        <w:t>On December 31, 2008, the equipment will have depreciated by 6 months.</w:t>
      </w:r>
    </w:p>
    <w:p w14:paraId="04C0AF38" w14:textId="77777777" w:rsidR="006C2FC9" w:rsidRPr="00072B71" w:rsidRDefault="00072B71">
      <w:pPr>
        <w:rPr>
          <w:color w:val="4472C4" w:themeColor="accent5"/>
        </w:rPr>
      </w:pPr>
      <w:r w:rsidRPr="00072B71">
        <w:rPr>
          <w:color w:val="4472C4" w:themeColor="accent5"/>
        </w:rPr>
        <w:t>Depreciation = (20,000 – 2,000)/10 x 6/12 = 900</w:t>
      </w:r>
    </w:p>
    <w:p w14:paraId="6F0EAB7E" w14:textId="77777777" w:rsidR="006C2FC9" w:rsidRPr="00072B71" w:rsidRDefault="006C2FC9">
      <w:pPr>
        <w:rPr>
          <w:color w:val="4472C4" w:themeColor="accent5"/>
        </w:rPr>
      </w:pPr>
    </w:p>
    <w:p w14:paraId="20D5EACD" w14:textId="77777777" w:rsidR="00072B71" w:rsidRPr="00072B71" w:rsidRDefault="00072B71">
      <w:pPr>
        <w:rPr>
          <w:color w:val="4472C4" w:themeColor="accent5"/>
        </w:rPr>
      </w:pPr>
      <w:r w:rsidRPr="00072B71">
        <w:rPr>
          <w:color w:val="4472C4" w:themeColor="accent5"/>
        </w:rPr>
        <w:t>Book value (i.e., NAV) = Cost – Accumulated depreciation = 20,000 – 900 = 19,100</w:t>
      </w:r>
    </w:p>
    <w:p w14:paraId="499D6ED9" w14:textId="77777777" w:rsidR="006C2FC9" w:rsidRDefault="006C2FC9"/>
    <w:tbl>
      <w:tblPr>
        <w:tblStyle w:val="PlainTable1"/>
        <w:tblW w:w="4779" w:type="dxa"/>
        <w:tblLook w:val="02A0" w:firstRow="1" w:lastRow="0" w:firstColumn="1" w:lastColumn="0" w:noHBand="1" w:noVBand="0"/>
      </w:tblPr>
      <w:tblGrid>
        <w:gridCol w:w="2628"/>
        <w:gridCol w:w="2151"/>
      </w:tblGrid>
      <w:tr w:rsidR="006C2FC9" w14:paraId="6F02FBC7"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B25366" w14:textId="77777777" w:rsidR="006C2FC9" w:rsidRDefault="006C2FC9" w:rsidP="00057DAD">
            <w:r>
              <w:t>Net asset value, Dec 31:</w:t>
            </w:r>
          </w:p>
        </w:tc>
        <w:tc>
          <w:tcPr>
            <w:cnfStyle w:val="000010000000" w:firstRow="0" w:lastRow="0" w:firstColumn="0" w:lastColumn="0" w:oddVBand="1" w:evenVBand="0" w:oddHBand="0" w:evenHBand="0" w:firstRowFirstColumn="0" w:firstRowLastColumn="0" w:lastRowFirstColumn="0" w:lastRowLastColumn="0"/>
            <w:tcW w:w="2151" w:type="dxa"/>
          </w:tcPr>
          <w:p w14:paraId="4F363E5B" w14:textId="77777777" w:rsidR="006C2FC9" w:rsidRPr="00072B71" w:rsidRDefault="00072B71" w:rsidP="00057DAD">
            <w:pPr>
              <w:rPr>
                <w:color w:val="4472C4" w:themeColor="accent5"/>
              </w:rPr>
            </w:pPr>
            <w:r w:rsidRPr="00072B71">
              <w:rPr>
                <w:color w:val="4472C4" w:themeColor="accent5"/>
              </w:rPr>
              <w:t>19,100</w:t>
            </w:r>
          </w:p>
        </w:tc>
      </w:tr>
    </w:tbl>
    <w:p w14:paraId="6081EF83" w14:textId="77777777" w:rsidR="006C2FC9" w:rsidRDefault="006C2FC9"/>
    <w:p w14:paraId="73CE55EB" w14:textId="77777777" w:rsidR="00635402" w:rsidRDefault="003F67E3">
      <w:r>
        <w:t xml:space="preserve">3) Hill received an offer to sell the equipment </w:t>
      </w:r>
      <w:proofErr w:type="gramStart"/>
      <w:r>
        <w:t>at</w:t>
      </w:r>
      <w:proofErr w:type="gramEnd"/>
      <w:r>
        <w:t xml:space="preserve"> January 1, 2009. If Hill sold the</w:t>
      </w:r>
      <w:r w:rsidR="004C443B">
        <w:t xml:space="preserve"> </w:t>
      </w:r>
      <w:r>
        <w:t>equipment for $23,000 in cash, what journal entry would they record for the sale of</w:t>
      </w:r>
      <w:r w:rsidR="004C443B">
        <w:t xml:space="preserve"> </w:t>
      </w:r>
      <w:r>
        <w:t>the equipment? No entry explanation is required.</w:t>
      </w:r>
    </w:p>
    <w:p w14:paraId="4DC316B3" w14:textId="77777777" w:rsidR="006C2FC9" w:rsidRDefault="006C2FC9"/>
    <w:tbl>
      <w:tblPr>
        <w:tblStyle w:val="PlainTable3"/>
        <w:tblW w:w="0" w:type="auto"/>
        <w:tblLook w:val="04A0" w:firstRow="1" w:lastRow="0" w:firstColumn="1" w:lastColumn="0" w:noHBand="0" w:noVBand="1"/>
      </w:tblPr>
      <w:tblGrid>
        <w:gridCol w:w="1052"/>
        <w:gridCol w:w="2908"/>
        <w:gridCol w:w="2269"/>
        <w:gridCol w:w="2268"/>
      </w:tblGrid>
      <w:tr w:rsidR="006C2FC9" w14:paraId="2334CF2C"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504AB475" w14:textId="77777777" w:rsidR="006C2FC9" w:rsidRDefault="006C2FC9" w:rsidP="00057DAD">
            <w:r>
              <w:t>DATE</w:t>
            </w:r>
          </w:p>
        </w:tc>
        <w:tc>
          <w:tcPr>
            <w:tcW w:w="2908" w:type="dxa"/>
          </w:tcPr>
          <w:p w14:paraId="5CF9C7C4" w14:textId="77777777" w:rsidR="006C2FC9" w:rsidRDefault="006C2FC9"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75718D2E" w14:textId="77777777" w:rsidR="006C2FC9" w:rsidRDefault="006C2FC9"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20421BE4" w14:textId="77777777" w:rsidR="006C2FC9" w:rsidRDefault="006C2FC9" w:rsidP="00057DAD">
            <w:pPr>
              <w:cnfStyle w:val="100000000000" w:firstRow="1" w:lastRow="0" w:firstColumn="0" w:lastColumn="0" w:oddVBand="0" w:evenVBand="0" w:oddHBand="0" w:evenHBand="0" w:firstRowFirstColumn="0" w:firstRowLastColumn="0" w:lastRowFirstColumn="0" w:lastRowLastColumn="0"/>
            </w:pPr>
            <w:r>
              <w:t>CR</w:t>
            </w:r>
          </w:p>
        </w:tc>
      </w:tr>
      <w:tr w:rsidR="006C2FC9" w14:paraId="71FE480D"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3BFCA08E" w14:textId="77777777" w:rsidR="006C2FC9" w:rsidRPr="00072B71" w:rsidRDefault="00072B71" w:rsidP="00057DAD">
            <w:pPr>
              <w:rPr>
                <w:color w:val="4472C4" w:themeColor="accent5"/>
              </w:rPr>
            </w:pPr>
            <w:r>
              <w:rPr>
                <w:color w:val="4472C4" w:themeColor="accent5"/>
              </w:rPr>
              <w:t>Jan 1</w:t>
            </w:r>
          </w:p>
        </w:tc>
        <w:tc>
          <w:tcPr>
            <w:tcW w:w="2908" w:type="dxa"/>
          </w:tcPr>
          <w:p w14:paraId="65A82BB2" w14:textId="77777777" w:rsidR="006C2FC9"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sidRPr="00072B71">
              <w:rPr>
                <w:color w:val="4472C4" w:themeColor="accent5"/>
              </w:rPr>
              <w:t>Cash</w:t>
            </w:r>
          </w:p>
          <w:p w14:paraId="7FA129C5" w14:textId="77777777" w:rsidR="00072B71" w:rsidRPr="00072B71"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 xml:space="preserve">Acc. </w:t>
            </w:r>
            <w:proofErr w:type="spellStart"/>
            <w:r>
              <w:rPr>
                <w:color w:val="4472C4" w:themeColor="accent5"/>
              </w:rPr>
              <w:t>Depr</w:t>
            </w:r>
            <w:proofErr w:type="spellEnd"/>
            <w:r>
              <w:rPr>
                <w:color w:val="4472C4" w:themeColor="accent5"/>
              </w:rPr>
              <w:t>. -- Equipment</w:t>
            </w:r>
          </w:p>
          <w:p w14:paraId="64CC7029" w14:textId="77777777" w:rsidR="006C2FC9" w:rsidRPr="00072B71"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t xml:space="preserve">    </w:t>
            </w:r>
            <w:r w:rsidRPr="00072B71">
              <w:rPr>
                <w:color w:val="4472C4" w:themeColor="accent5"/>
              </w:rPr>
              <w:t>Gain on asset sale</w:t>
            </w:r>
          </w:p>
          <w:p w14:paraId="11F7D001" w14:textId="77777777" w:rsidR="006C2FC9" w:rsidRPr="00072B71"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 xml:space="preserve">    Equipment</w:t>
            </w:r>
          </w:p>
        </w:tc>
        <w:tc>
          <w:tcPr>
            <w:tcW w:w="2269" w:type="dxa"/>
          </w:tcPr>
          <w:p w14:paraId="6AF37A8C" w14:textId="77777777" w:rsidR="006C2FC9"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23,000</w:t>
            </w:r>
          </w:p>
          <w:p w14:paraId="19B131F1" w14:textId="77777777" w:rsidR="00072B71" w:rsidRPr="00072B71"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900</w:t>
            </w:r>
          </w:p>
        </w:tc>
        <w:tc>
          <w:tcPr>
            <w:tcW w:w="2268" w:type="dxa"/>
          </w:tcPr>
          <w:p w14:paraId="3DD59F60" w14:textId="77777777" w:rsidR="006C2FC9" w:rsidRDefault="006C2FC9" w:rsidP="00057DAD">
            <w:pPr>
              <w:cnfStyle w:val="000000100000" w:firstRow="0" w:lastRow="0" w:firstColumn="0" w:lastColumn="0" w:oddVBand="0" w:evenVBand="0" w:oddHBand="1" w:evenHBand="0" w:firstRowFirstColumn="0" w:firstRowLastColumn="0" w:lastRowFirstColumn="0" w:lastRowLastColumn="0"/>
            </w:pPr>
          </w:p>
          <w:p w14:paraId="475001E3" w14:textId="77777777" w:rsidR="00072B71" w:rsidRDefault="00072B71" w:rsidP="00057DAD">
            <w:pPr>
              <w:cnfStyle w:val="000000100000" w:firstRow="0" w:lastRow="0" w:firstColumn="0" w:lastColumn="0" w:oddVBand="0" w:evenVBand="0" w:oddHBand="1" w:evenHBand="0" w:firstRowFirstColumn="0" w:firstRowLastColumn="0" w:lastRowFirstColumn="0" w:lastRowLastColumn="0"/>
            </w:pPr>
          </w:p>
          <w:p w14:paraId="63653D66" w14:textId="77777777" w:rsidR="00072B71"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3,900</w:t>
            </w:r>
          </w:p>
          <w:p w14:paraId="3DF16D63" w14:textId="77777777" w:rsidR="00072B71" w:rsidRPr="00072B71" w:rsidRDefault="00072B7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commentRangeStart w:id="2"/>
            <w:r>
              <w:rPr>
                <w:color w:val="4472C4" w:themeColor="accent5"/>
              </w:rPr>
              <w:t>20,000</w:t>
            </w:r>
            <w:commentRangeEnd w:id="2"/>
            <w:r w:rsidR="003244DB">
              <w:rPr>
                <w:rStyle w:val="CommentReference"/>
                <w:rFonts w:ascii="Liberation Serif" w:eastAsia="Droid Sans Fallback" w:hAnsi="Liberation Serif" w:cs="Mangal"/>
                <w:lang w:eastAsia="zh-CN" w:bidi="hi-IN"/>
              </w:rPr>
              <w:commentReference w:id="2"/>
            </w:r>
          </w:p>
        </w:tc>
      </w:tr>
    </w:tbl>
    <w:p w14:paraId="431F19CD" w14:textId="77777777" w:rsidR="006C2FC9" w:rsidRDefault="006C2FC9"/>
    <w:p w14:paraId="1B2DA9B6" w14:textId="77777777" w:rsidR="006C2FC9" w:rsidRDefault="006C2FC9">
      <w:pPr>
        <w:widowControl/>
        <w:suppressAutoHyphens w:val="0"/>
      </w:pPr>
      <w:r>
        <w:br w:type="page"/>
      </w:r>
    </w:p>
    <w:p w14:paraId="41D47599" w14:textId="77777777" w:rsidR="00B12254" w:rsidRDefault="006C2FC9">
      <w:pPr>
        <w:rPr>
          <w:u w:val="single"/>
        </w:rPr>
      </w:pPr>
      <w:r>
        <w:rPr>
          <w:u w:val="single"/>
        </w:rPr>
        <w:lastRenderedPageBreak/>
        <w:t>PP&amp;E Question</w:t>
      </w:r>
      <w:r w:rsidR="00B12254">
        <w:rPr>
          <w:u w:val="single"/>
        </w:rPr>
        <w:t xml:space="preserve"> Part B </w:t>
      </w:r>
      <w:commentRangeStart w:id="3"/>
      <w:r w:rsidR="00B12254">
        <w:rPr>
          <w:u w:val="single"/>
        </w:rPr>
        <w:t>(2 points)</w:t>
      </w:r>
      <w:commentRangeEnd w:id="3"/>
      <w:r w:rsidR="003244DB">
        <w:rPr>
          <w:rStyle w:val="CommentReference"/>
          <w:rFonts w:cs="Mangal"/>
        </w:rPr>
        <w:commentReference w:id="3"/>
      </w:r>
    </w:p>
    <w:p w14:paraId="0EB03731" w14:textId="77777777" w:rsidR="00B12254" w:rsidRDefault="00B12254"/>
    <w:p w14:paraId="194206A7" w14:textId="1DE5C4DD" w:rsidR="00635402" w:rsidRPr="00B12254" w:rsidRDefault="006C2FC9">
      <w:pPr>
        <w:rPr>
          <w:u w:val="single"/>
        </w:rPr>
      </w:pPr>
      <w:r>
        <w:t xml:space="preserve">Hill </w:t>
      </w:r>
      <w:r w:rsidR="004C443B">
        <w:t>Company</w:t>
      </w:r>
      <w:r>
        <w:t xml:space="preserve"> has another piece of equipment with a net asset value of </w:t>
      </w:r>
      <w:r w:rsidRPr="007249AC">
        <w:rPr>
          <w:highlight w:val="cyan"/>
        </w:rPr>
        <w:t>$22,000</w:t>
      </w:r>
      <w:r>
        <w:t xml:space="preserve"> as of January 1, 2009.  </w:t>
      </w:r>
      <w:r w:rsidR="003F67E3">
        <w:t>In early 2009, a major improvement to the</w:t>
      </w:r>
      <w:r>
        <w:t xml:space="preserve"> </w:t>
      </w:r>
      <w:r w:rsidR="003F67E3">
        <w:t xml:space="preserve">equipment took place, costing </w:t>
      </w:r>
      <w:r w:rsidR="003F67E3" w:rsidRPr="007249AC">
        <w:rPr>
          <w:highlight w:val="cyan"/>
        </w:rPr>
        <w:t>$</w:t>
      </w:r>
      <w:r w:rsidR="00C157B6" w:rsidRPr="00C157B6">
        <w:rPr>
          <w:highlight w:val="cyan"/>
        </w:rPr>
        <w:t>3,000</w:t>
      </w:r>
      <w:r w:rsidR="003F67E3">
        <w:t xml:space="preserve">. As a result, the annual capacity </w:t>
      </w:r>
      <w:r>
        <w:t xml:space="preserve">of the equipment </w:t>
      </w:r>
      <w:r w:rsidR="003F67E3">
        <w:t xml:space="preserve">was expanded, </w:t>
      </w:r>
      <w:r>
        <w:t>leaving it with 10 years of useful life and a salvage value of $2,000</w:t>
      </w:r>
      <w:r w:rsidR="003F67E3">
        <w:t xml:space="preserve">. </w:t>
      </w:r>
      <w:r>
        <w:t xml:space="preserve"> </w:t>
      </w:r>
      <w:r w:rsidR="003F67E3">
        <w:t>In early 2010, due to signs of</w:t>
      </w:r>
      <w:r>
        <w:t xml:space="preserve"> severe wear, Hill revised the equipment’s</w:t>
      </w:r>
      <w:r w:rsidR="003F67E3">
        <w:t xml:space="preserve"> estimated useful life to be only five remaining years from</w:t>
      </w:r>
      <w:r>
        <w:t xml:space="preserve"> January 1, 2010 with a salvage</w:t>
      </w:r>
      <w:r w:rsidR="003F67E3">
        <w:t xml:space="preserve"> value </w:t>
      </w:r>
      <w:r>
        <w:t>of</w:t>
      </w:r>
      <w:r w:rsidR="003F67E3">
        <w:t xml:space="preserve"> $1,000.</w:t>
      </w:r>
      <w:r w:rsidR="00C157B6">
        <w:t xml:space="preserve">  Hill Company uses double declining balance depreciation for this equipment.</w:t>
      </w:r>
    </w:p>
    <w:p w14:paraId="150602D2" w14:textId="77777777" w:rsidR="006C2FC9" w:rsidRDefault="006C2FC9"/>
    <w:p w14:paraId="22A6F713" w14:textId="77777777" w:rsidR="00635402" w:rsidRDefault="003F67E3">
      <w:r>
        <w:t>Required:</w:t>
      </w:r>
    </w:p>
    <w:p w14:paraId="7A6163FF" w14:textId="77777777" w:rsidR="00635402" w:rsidRDefault="003F67E3">
      <w:r>
        <w:t>1) Determine the amount of depreciati</w:t>
      </w:r>
      <w:r w:rsidR="006C2FC9">
        <w:t xml:space="preserve">on expense for the equipment on Dec 31, </w:t>
      </w:r>
      <w:r w:rsidR="004C443B">
        <w:t>2009.</w:t>
      </w:r>
    </w:p>
    <w:p w14:paraId="05463483" w14:textId="77777777" w:rsidR="006C2FC9" w:rsidRDefault="006C2FC9"/>
    <w:p w14:paraId="71593744" w14:textId="1D2992B2" w:rsidR="00B12254" w:rsidRPr="00072B71" w:rsidRDefault="00072B71">
      <w:pPr>
        <w:rPr>
          <w:color w:val="4472C4" w:themeColor="accent5"/>
        </w:rPr>
      </w:pPr>
      <w:r>
        <w:rPr>
          <w:color w:val="4472C4" w:themeColor="accent5"/>
        </w:rPr>
        <w:t>Depreciation: 2</w:t>
      </w:r>
      <w:r w:rsidR="00C157B6">
        <w:rPr>
          <w:color w:val="4472C4" w:themeColor="accent5"/>
        </w:rPr>
        <w:t>5,000 x 2</w:t>
      </w:r>
      <w:r>
        <w:rPr>
          <w:color w:val="4472C4" w:themeColor="accent5"/>
        </w:rPr>
        <w:t xml:space="preserve">/10 = </w:t>
      </w:r>
      <w:r w:rsidR="00E81434">
        <w:rPr>
          <w:color w:val="4472C4" w:themeColor="accent5"/>
        </w:rPr>
        <w:t>5,000</w:t>
      </w:r>
    </w:p>
    <w:p w14:paraId="06AA15F5" w14:textId="77777777" w:rsidR="00B12254" w:rsidRDefault="00B12254"/>
    <w:p w14:paraId="4618FAFF" w14:textId="77777777" w:rsidR="00B12254" w:rsidRDefault="00B12254"/>
    <w:p w14:paraId="4761DBCF" w14:textId="77777777" w:rsidR="006C2FC9" w:rsidRDefault="006C2FC9"/>
    <w:p w14:paraId="103A5F81" w14:textId="77777777" w:rsidR="006C2FC9" w:rsidRDefault="006C2FC9"/>
    <w:p w14:paraId="2A6EA065" w14:textId="77777777" w:rsidR="006C2FC9" w:rsidRDefault="006C2FC9"/>
    <w:p w14:paraId="710C15EF" w14:textId="77777777" w:rsidR="006C2FC9" w:rsidRDefault="006C2FC9"/>
    <w:p w14:paraId="77B26A75" w14:textId="77777777" w:rsidR="006C2FC9" w:rsidRDefault="006C2FC9"/>
    <w:tbl>
      <w:tblPr>
        <w:tblStyle w:val="PlainTable1"/>
        <w:tblW w:w="4779" w:type="dxa"/>
        <w:tblLook w:val="02A0" w:firstRow="1" w:lastRow="0" w:firstColumn="1" w:lastColumn="0" w:noHBand="1" w:noVBand="0"/>
      </w:tblPr>
      <w:tblGrid>
        <w:gridCol w:w="2628"/>
        <w:gridCol w:w="2151"/>
      </w:tblGrid>
      <w:tr w:rsidR="00B12254" w14:paraId="74F7FCE8"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2AAF56E" w14:textId="77777777" w:rsidR="00B12254" w:rsidRDefault="00B12254" w:rsidP="00057DAD">
            <w:proofErr w:type="spellStart"/>
            <w:r>
              <w:t>Depr</w:t>
            </w:r>
            <w:proofErr w:type="spellEnd"/>
            <w:r>
              <w:t>. Expense, 2009</w:t>
            </w:r>
          </w:p>
        </w:tc>
        <w:tc>
          <w:tcPr>
            <w:cnfStyle w:val="000010000000" w:firstRow="0" w:lastRow="0" w:firstColumn="0" w:lastColumn="0" w:oddVBand="1" w:evenVBand="0" w:oddHBand="0" w:evenHBand="0" w:firstRowFirstColumn="0" w:firstRowLastColumn="0" w:lastRowFirstColumn="0" w:lastRowLastColumn="0"/>
            <w:tcW w:w="2151" w:type="dxa"/>
          </w:tcPr>
          <w:p w14:paraId="4396383B" w14:textId="34D24B7A" w:rsidR="00B12254" w:rsidRPr="00072B71" w:rsidRDefault="00E81434" w:rsidP="00057DAD">
            <w:pPr>
              <w:rPr>
                <w:color w:val="4472C4" w:themeColor="accent5"/>
              </w:rPr>
            </w:pPr>
            <w:r>
              <w:rPr>
                <w:color w:val="4472C4" w:themeColor="accent5"/>
              </w:rPr>
              <w:t>5,000</w:t>
            </w:r>
          </w:p>
        </w:tc>
      </w:tr>
    </w:tbl>
    <w:p w14:paraId="68AE4970" w14:textId="77777777" w:rsidR="006C2FC9" w:rsidRDefault="006C2FC9"/>
    <w:p w14:paraId="014442F4" w14:textId="77777777" w:rsidR="00635402" w:rsidRDefault="003F67E3">
      <w:r>
        <w:t>2) Determine the amount of depreciati</w:t>
      </w:r>
      <w:r w:rsidR="006C2FC9">
        <w:t xml:space="preserve">on expense for the equipment on Dec 31, </w:t>
      </w:r>
      <w:r w:rsidR="004C443B">
        <w:t>2010.</w:t>
      </w:r>
    </w:p>
    <w:p w14:paraId="32C94862" w14:textId="77777777" w:rsidR="00635402" w:rsidRDefault="00635402"/>
    <w:p w14:paraId="6EEAA4DA" w14:textId="3FBB91D3" w:rsidR="006C2FC9" w:rsidRPr="00072B71" w:rsidRDefault="007249AC">
      <w:pPr>
        <w:rPr>
          <w:color w:val="4472C4" w:themeColor="accent5"/>
        </w:rPr>
      </w:pPr>
      <w:r>
        <w:rPr>
          <w:color w:val="4472C4" w:themeColor="accent5"/>
        </w:rPr>
        <w:t xml:space="preserve">New asset value = Old NAV = </w:t>
      </w:r>
      <w:r w:rsidR="00072B71">
        <w:rPr>
          <w:color w:val="4472C4" w:themeColor="accent5"/>
        </w:rPr>
        <w:t>2</w:t>
      </w:r>
      <w:r w:rsidR="00C157B6">
        <w:rPr>
          <w:color w:val="4472C4" w:themeColor="accent5"/>
        </w:rPr>
        <w:t>5,0</w:t>
      </w:r>
      <w:r w:rsidR="00072B71">
        <w:rPr>
          <w:color w:val="4472C4" w:themeColor="accent5"/>
        </w:rPr>
        <w:t xml:space="preserve">00 – </w:t>
      </w:r>
      <w:r w:rsidR="00E81434">
        <w:rPr>
          <w:color w:val="4472C4" w:themeColor="accent5"/>
        </w:rPr>
        <w:t>5</w:t>
      </w:r>
      <w:r w:rsidR="00072B71">
        <w:rPr>
          <w:color w:val="4472C4" w:themeColor="accent5"/>
        </w:rPr>
        <w:t>,</w:t>
      </w:r>
      <w:r w:rsidR="00E81434">
        <w:rPr>
          <w:color w:val="4472C4" w:themeColor="accent5"/>
        </w:rPr>
        <w:t>000</w:t>
      </w:r>
      <w:r w:rsidR="00072B71">
        <w:rPr>
          <w:color w:val="4472C4" w:themeColor="accent5"/>
        </w:rPr>
        <w:t xml:space="preserve"> = 2</w:t>
      </w:r>
      <w:r w:rsidR="00E81434">
        <w:rPr>
          <w:color w:val="4472C4" w:themeColor="accent5"/>
        </w:rPr>
        <w:t>0</w:t>
      </w:r>
      <w:r w:rsidR="00072B71">
        <w:rPr>
          <w:color w:val="4472C4" w:themeColor="accent5"/>
        </w:rPr>
        <w:t>,</w:t>
      </w:r>
      <w:r w:rsidR="00E81434">
        <w:rPr>
          <w:color w:val="4472C4" w:themeColor="accent5"/>
        </w:rPr>
        <w:t>000</w:t>
      </w:r>
    </w:p>
    <w:p w14:paraId="3AC32EF4" w14:textId="77777777" w:rsidR="006C2FC9" w:rsidRDefault="006C2FC9"/>
    <w:p w14:paraId="6CED0A26" w14:textId="4E0D55AD" w:rsidR="006C2FC9" w:rsidRPr="00072B71" w:rsidRDefault="00072B71">
      <w:pPr>
        <w:rPr>
          <w:color w:val="4472C4" w:themeColor="accent5"/>
        </w:rPr>
      </w:pPr>
      <w:r>
        <w:rPr>
          <w:color w:val="4472C4" w:themeColor="accent5"/>
        </w:rPr>
        <w:t xml:space="preserve">Depreciation: </w:t>
      </w:r>
      <w:r w:rsidR="00E81434">
        <w:rPr>
          <w:color w:val="4472C4" w:themeColor="accent5"/>
        </w:rPr>
        <w:t>20,000 x 2/5</w:t>
      </w:r>
      <w:r>
        <w:rPr>
          <w:color w:val="4472C4" w:themeColor="accent5"/>
        </w:rPr>
        <w:t xml:space="preserve"> = </w:t>
      </w:r>
      <w:r w:rsidR="00E81434">
        <w:rPr>
          <w:color w:val="4472C4" w:themeColor="accent5"/>
        </w:rPr>
        <w:t>8,000</w:t>
      </w:r>
    </w:p>
    <w:p w14:paraId="5CAB46E5" w14:textId="77777777" w:rsidR="006C2FC9" w:rsidRDefault="006C2FC9"/>
    <w:p w14:paraId="31CB9908" w14:textId="77777777" w:rsidR="006C2FC9" w:rsidRDefault="006C2FC9"/>
    <w:p w14:paraId="6ABA9993" w14:textId="77777777" w:rsidR="006C2FC9" w:rsidRDefault="006C2FC9"/>
    <w:p w14:paraId="13A29C28" w14:textId="77777777" w:rsidR="006C2FC9" w:rsidRDefault="006C2FC9"/>
    <w:p w14:paraId="604D78C1" w14:textId="77777777" w:rsidR="006C2FC9" w:rsidRDefault="006C2FC9"/>
    <w:tbl>
      <w:tblPr>
        <w:tblStyle w:val="PlainTable1"/>
        <w:tblW w:w="4779" w:type="dxa"/>
        <w:tblLook w:val="02A0" w:firstRow="1" w:lastRow="0" w:firstColumn="1" w:lastColumn="0" w:noHBand="1" w:noVBand="0"/>
      </w:tblPr>
      <w:tblGrid>
        <w:gridCol w:w="2628"/>
        <w:gridCol w:w="2151"/>
      </w:tblGrid>
      <w:tr w:rsidR="00B12254" w14:paraId="56337A07"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71E763B" w14:textId="77777777" w:rsidR="00B12254" w:rsidRDefault="00B12254" w:rsidP="00B12254">
            <w:proofErr w:type="spellStart"/>
            <w:r>
              <w:t>Depr</w:t>
            </w:r>
            <w:proofErr w:type="spellEnd"/>
            <w:r>
              <w:t>. Expense, 2010</w:t>
            </w:r>
          </w:p>
        </w:tc>
        <w:tc>
          <w:tcPr>
            <w:cnfStyle w:val="000010000000" w:firstRow="0" w:lastRow="0" w:firstColumn="0" w:lastColumn="0" w:oddVBand="1" w:evenVBand="0" w:oddHBand="0" w:evenHBand="0" w:firstRowFirstColumn="0" w:firstRowLastColumn="0" w:lastRowFirstColumn="0" w:lastRowLastColumn="0"/>
            <w:tcW w:w="2151" w:type="dxa"/>
          </w:tcPr>
          <w:p w14:paraId="06AA816A" w14:textId="545FFBFC" w:rsidR="00B12254" w:rsidRPr="00072B71" w:rsidRDefault="00E81434" w:rsidP="00057DAD">
            <w:pPr>
              <w:rPr>
                <w:color w:val="4472C4" w:themeColor="accent5"/>
              </w:rPr>
            </w:pPr>
            <w:r>
              <w:rPr>
                <w:color w:val="4472C4" w:themeColor="accent5"/>
              </w:rPr>
              <w:t>8,000</w:t>
            </w:r>
          </w:p>
        </w:tc>
      </w:tr>
    </w:tbl>
    <w:p w14:paraId="0FDD3311" w14:textId="77777777" w:rsidR="002B6CF4" w:rsidRDefault="002B6CF4">
      <w:pPr>
        <w:widowControl/>
        <w:suppressAutoHyphens w:val="0"/>
      </w:pPr>
      <w:r>
        <w:br w:type="page"/>
      </w:r>
    </w:p>
    <w:p w14:paraId="33FCC275" w14:textId="77777777" w:rsidR="00635402" w:rsidRDefault="003F67E3">
      <w:pPr>
        <w:rPr>
          <w:u w:val="single"/>
        </w:rPr>
      </w:pPr>
      <w:r>
        <w:rPr>
          <w:u w:val="single"/>
        </w:rPr>
        <w:lastRenderedPageBreak/>
        <w:t>Intangibles</w:t>
      </w:r>
      <w:r w:rsidR="00B12254">
        <w:rPr>
          <w:u w:val="single"/>
        </w:rPr>
        <w:t xml:space="preserve"> Question </w:t>
      </w:r>
      <w:commentRangeStart w:id="4"/>
      <w:r w:rsidR="00B12254">
        <w:rPr>
          <w:u w:val="single"/>
        </w:rPr>
        <w:t>(3 points)</w:t>
      </w:r>
      <w:commentRangeEnd w:id="4"/>
      <w:r w:rsidR="003244DB">
        <w:rPr>
          <w:rStyle w:val="CommentReference"/>
          <w:rFonts w:cs="Mangal"/>
        </w:rPr>
        <w:commentReference w:id="4"/>
      </w:r>
    </w:p>
    <w:p w14:paraId="08ECB9BB" w14:textId="77777777" w:rsidR="003244DB" w:rsidRDefault="003244DB" w:rsidP="003244DB">
      <w:pPr>
        <w:rPr>
          <w:u w:val="single"/>
        </w:rPr>
      </w:pPr>
    </w:p>
    <w:p w14:paraId="7C9DF380" w14:textId="77777777" w:rsidR="003244DB" w:rsidRDefault="003244DB" w:rsidP="003244DB">
      <w:r>
        <w:t>In 2006, Toshiba acquired Westinghouse, a nuclear reactor company, for $5.4 billion US dollars.  Assume that Westinghouse's net assets (market value of assets – liabilities) were worth $3.1 billion dollars at the time of the acquisition, and that Toshiba paid in cash.</w:t>
      </w:r>
    </w:p>
    <w:p w14:paraId="52937B05" w14:textId="77777777" w:rsidR="003244DB" w:rsidRDefault="003244DB" w:rsidP="003244DB"/>
    <w:p w14:paraId="7EE36307" w14:textId="77777777" w:rsidR="003244DB" w:rsidRDefault="003244DB" w:rsidP="003244DB">
      <w:r>
        <w:t>In 2011, the well-known Fukushima Daiichi nuclear disaster occurred, drastically decreasing demand for nuclear reactors across the globe.  At the time, Toshiba insisted that the Westinghouse was unaffected, due to high demand for its other services (such as nuclear reactor maintenance).  However, due to pressure from their auditor, PwC, Toshiba proceeded to take a $2.3 billion US dollar impairment charge to goodwill in 2016, 5 years later.</w:t>
      </w:r>
    </w:p>
    <w:p w14:paraId="745AF92D" w14:textId="77777777" w:rsidR="003244DB" w:rsidRDefault="003244DB" w:rsidP="003244DB"/>
    <w:p w14:paraId="61163A71" w14:textId="77777777" w:rsidR="003244DB" w:rsidRDefault="003244DB" w:rsidP="003244DB">
      <w:r>
        <w:t>In the end, Toshiba decided to sell off the Westinghouse group to Brookfield, a Canadian asset managing firm, in January of 2018.  Brookfield was to acquire the firm for 4.6 billion US dollars, by paying 4 billion US dollars in cash, and assuming 600 million US dollars of Westinghouse's liabilities.</w:t>
      </w:r>
    </w:p>
    <w:p w14:paraId="3A905CA9" w14:textId="77777777" w:rsidR="00635402" w:rsidRDefault="00635402"/>
    <w:p w14:paraId="4F3F9D0E" w14:textId="77777777" w:rsidR="00421EA5" w:rsidRDefault="003F67E3">
      <w:r>
        <w:t xml:space="preserve">References: </w:t>
      </w:r>
    </w:p>
    <w:p w14:paraId="5678FDDF" w14:textId="77777777" w:rsidR="00635402" w:rsidRDefault="00A544AF" w:rsidP="00421EA5">
      <w:pPr>
        <w:ind w:firstLine="709"/>
      </w:pPr>
      <w:hyperlink r:id="rId11" w:history="1">
        <w:r w:rsidR="00421EA5" w:rsidRPr="00421EA5">
          <w:rPr>
            <w:rStyle w:val="Hyperlink"/>
          </w:rPr>
          <w:t>Toshiba sells nuclear group Westinghouse in $4.6bn deal</w:t>
        </w:r>
      </w:hyperlink>
      <w:r w:rsidR="00421EA5">
        <w:t>, Financial Times</w:t>
      </w:r>
    </w:p>
    <w:p w14:paraId="7AB04167" w14:textId="77777777" w:rsidR="00421EA5" w:rsidRDefault="00A544AF" w:rsidP="00421EA5">
      <w:pPr>
        <w:ind w:firstLine="709"/>
      </w:pPr>
      <w:hyperlink r:id="rId12" w:history="1">
        <w:r w:rsidR="00421EA5" w:rsidRPr="00421EA5">
          <w:rPr>
            <w:rStyle w:val="Hyperlink"/>
          </w:rPr>
          <w:t>Toshiba admits to a ruinous overpayment for an American nuclear firm</w:t>
        </w:r>
      </w:hyperlink>
      <w:r w:rsidR="00421EA5">
        <w:t>, The Economist</w:t>
      </w:r>
    </w:p>
    <w:p w14:paraId="56CA141D" w14:textId="77777777" w:rsidR="00635402" w:rsidRDefault="00635402"/>
    <w:p w14:paraId="21727494" w14:textId="77777777" w:rsidR="00635402" w:rsidRDefault="003F67E3">
      <w:r>
        <w:t>1. Record the initial purchase of Westinghouse, from Toshiba's perspective (in USD).</w:t>
      </w:r>
    </w:p>
    <w:p w14:paraId="3EEF15A7" w14:textId="77777777" w:rsidR="00635402" w:rsidRDefault="00635402"/>
    <w:tbl>
      <w:tblPr>
        <w:tblStyle w:val="PlainTable3"/>
        <w:tblW w:w="0" w:type="auto"/>
        <w:tblLook w:val="04A0" w:firstRow="1" w:lastRow="0" w:firstColumn="1" w:lastColumn="0" w:noHBand="0" w:noVBand="1"/>
      </w:tblPr>
      <w:tblGrid>
        <w:gridCol w:w="1052"/>
        <w:gridCol w:w="2908"/>
        <w:gridCol w:w="2269"/>
        <w:gridCol w:w="2268"/>
      </w:tblGrid>
      <w:tr w:rsidR="002B6CF4" w14:paraId="661C93E9"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751E70DF" w14:textId="77777777" w:rsidR="002B6CF4" w:rsidRDefault="002B6CF4" w:rsidP="00057DAD">
            <w:r>
              <w:t>DATE</w:t>
            </w:r>
          </w:p>
        </w:tc>
        <w:tc>
          <w:tcPr>
            <w:tcW w:w="2908" w:type="dxa"/>
          </w:tcPr>
          <w:p w14:paraId="2BDD069C"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59536237"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6EEBC61F"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CR</w:t>
            </w:r>
          </w:p>
        </w:tc>
      </w:tr>
      <w:tr w:rsidR="002B6CF4" w14:paraId="26DF8C5E"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71634D33" w14:textId="77777777" w:rsidR="002B6CF4" w:rsidRDefault="002B6CF4" w:rsidP="00057DAD"/>
        </w:tc>
        <w:tc>
          <w:tcPr>
            <w:tcW w:w="2908" w:type="dxa"/>
          </w:tcPr>
          <w:p w14:paraId="09958B87" w14:textId="77777777" w:rsidR="002B6CF4"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commentRangeStart w:id="5"/>
            <w:r w:rsidRPr="006B7EF1">
              <w:rPr>
                <w:color w:val="4472C4" w:themeColor="accent5"/>
              </w:rPr>
              <w:t>Westinghouse net assets</w:t>
            </w:r>
            <w:commentRangeEnd w:id="5"/>
            <w:r w:rsidR="003244DB">
              <w:rPr>
                <w:rStyle w:val="CommentReference"/>
                <w:rFonts w:ascii="Liberation Serif" w:eastAsia="Droid Sans Fallback" w:hAnsi="Liberation Serif" w:cs="Mangal"/>
                <w:lang w:eastAsia="zh-CN" w:bidi="hi-IN"/>
              </w:rPr>
              <w:commentReference w:id="5"/>
            </w:r>
          </w:p>
          <w:p w14:paraId="49166008" w14:textId="77777777" w:rsidR="002B6CF4"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sidRPr="006B7EF1">
              <w:rPr>
                <w:color w:val="4472C4" w:themeColor="accent5"/>
              </w:rPr>
              <w:t>Goodwill</w:t>
            </w:r>
          </w:p>
          <w:p w14:paraId="7A6EF043" w14:textId="77777777" w:rsidR="002B6CF4"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t xml:space="preserve">    </w:t>
            </w:r>
            <w:r w:rsidRPr="006B7EF1">
              <w:rPr>
                <w:color w:val="4472C4" w:themeColor="accent5"/>
              </w:rPr>
              <w:t>Cash</w:t>
            </w:r>
          </w:p>
          <w:p w14:paraId="0D0446FC"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9" w:type="dxa"/>
          </w:tcPr>
          <w:p w14:paraId="7823E2C6" w14:textId="77777777" w:rsidR="002B6CF4"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3.1B</w:t>
            </w:r>
          </w:p>
          <w:p w14:paraId="13BFACBC" w14:textId="77777777" w:rsidR="006B7EF1"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2.3B</w:t>
            </w:r>
          </w:p>
        </w:tc>
        <w:tc>
          <w:tcPr>
            <w:tcW w:w="2268" w:type="dxa"/>
          </w:tcPr>
          <w:p w14:paraId="3B5263DE"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62CDFEA2" w14:textId="77777777" w:rsidR="006B7EF1" w:rsidRDefault="006B7EF1" w:rsidP="00057DAD">
            <w:pPr>
              <w:cnfStyle w:val="000000100000" w:firstRow="0" w:lastRow="0" w:firstColumn="0" w:lastColumn="0" w:oddVBand="0" w:evenVBand="0" w:oddHBand="1" w:evenHBand="0" w:firstRowFirstColumn="0" w:firstRowLastColumn="0" w:lastRowFirstColumn="0" w:lastRowLastColumn="0"/>
            </w:pPr>
          </w:p>
          <w:p w14:paraId="13AE7588" w14:textId="77777777" w:rsidR="006B7EF1"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5.4B</w:t>
            </w:r>
          </w:p>
        </w:tc>
      </w:tr>
    </w:tbl>
    <w:p w14:paraId="6918C132" w14:textId="77777777" w:rsidR="00635402" w:rsidRDefault="00635402"/>
    <w:p w14:paraId="75B88D34" w14:textId="77777777" w:rsidR="00635402" w:rsidRDefault="003F67E3">
      <w:r>
        <w:t>2. Record the subsequent goodwill impairment.</w:t>
      </w:r>
    </w:p>
    <w:p w14:paraId="440DEF43" w14:textId="77777777" w:rsidR="00635402" w:rsidRDefault="00635402"/>
    <w:tbl>
      <w:tblPr>
        <w:tblStyle w:val="PlainTable3"/>
        <w:tblW w:w="0" w:type="auto"/>
        <w:tblLook w:val="04A0" w:firstRow="1" w:lastRow="0" w:firstColumn="1" w:lastColumn="0" w:noHBand="0" w:noVBand="1"/>
      </w:tblPr>
      <w:tblGrid>
        <w:gridCol w:w="1052"/>
        <w:gridCol w:w="2908"/>
        <w:gridCol w:w="2269"/>
        <w:gridCol w:w="2268"/>
      </w:tblGrid>
      <w:tr w:rsidR="002B6CF4" w14:paraId="713B8EC0"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65A0C26B" w14:textId="77777777" w:rsidR="002B6CF4" w:rsidRDefault="002B6CF4" w:rsidP="00057DAD">
            <w:r>
              <w:t>DATE</w:t>
            </w:r>
          </w:p>
        </w:tc>
        <w:tc>
          <w:tcPr>
            <w:tcW w:w="2908" w:type="dxa"/>
          </w:tcPr>
          <w:p w14:paraId="634F5DFB"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76D56196"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730DBDE9"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CR</w:t>
            </w:r>
          </w:p>
        </w:tc>
      </w:tr>
      <w:tr w:rsidR="002B6CF4" w14:paraId="5A80C63E"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14E04660" w14:textId="77777777" w:rsidR="002B6CF4" w:rsidRDefault="002B6CF4" w:rsidP="00057DAD"/>
        </w:tc>
        <w:tc>
          <w:tcPr>
            <w:tcW w:w="2908" w:type="dxa"/>
          </w:tcPr>
          <w:p w14:paraId="7AF896A1" w14:textId="77777777" w:rsidR="002B6CF4"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commentRangeStart w:id="6"/>
            <w:r>
              <w:rPr>
                <w:color w:val="4472C4" w:themeColor="accent5"/>
              </w:rPr>
              <w:t>Impairment expense</w:t>
            </w:r>
            <w:commentRangeEnd w:id="6"/>
            <w:r w:rsidR="003244DB">
              <w:rPr>
                <w:rStyle w:val="CommentReference"/>
                <w:rFonts w:ascii="Liberation Serif" w:eastAsia="Droid Sans Fallback" w:hAnsi="Liberation Serif" w:cs="Mangal"/>
                <w:lang w:eastAsia="zh-CN" w:bidi="hi-IN"/>
              </w:rPr>
              <w:commentReference w:id="6"/>
            </w:r>
          </w:p>
          <w:p w14:paraId="2DB7A2D0" w14:textId="77777777" w:rsidR="002B6CF4"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 xml:space="preserve">    Goodwill</w:t>
            </w:r>
          </w:p>
          <w:p w14:paraId="78EDD702"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575E5293"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tc>
        <w:tc>
          <w:tcPr>
            <w:tcW w:w="2269" w:type="dxa"/>
          </w:tcPr>
          <w:p w14:paraId="5892AC24" w14:textId="77777777" w:rsidR="002B6CF4"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2.3B</w:t>
            </w:r>
          </w:p>
        </w:tc>
        <w:tc>
          <w:tcPr>
            <w:tcW w:w="2268" w:type="dxa"/>
          </w:tcPr>
          <w:p w14:paraId="0DE2B9A6"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4DF8BD3E" w14:textId="77777777" w:rsidR="006B7EF1"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2.3B</w:t>
            </w:r>
          </w:p>
        </w:tc>
      </w:tr>
    </w:tbl>
    <w:p w14:paraId="194226BF" w14:textId="77777777" w:rsidR="00635402" w:rsidRDefault="00635402"/>
    <w:p w14:paraId="19D52848" w14:textId="77777777" w:rsidR="00635402" w:rsidRDefault="003F67E3">
      <w:r>
        <w:t>3. Record the sale of Westinghouse from Toshiba's perspective, using the following simplifying assumption.  Treat Westinghouse as two accounts: one big PP&amp;E asset (call it “Westinghouse assets”), and one big liability (“Westinghouse liabilities”).  Further, assume that the only change in Westinghouse's assets and liabilities while owned by Toshiba was the goodwill impairment.</w:t>
      </w:r>
    </w:p>
    <w:p w14:paraId="21772328" w14:textId="77777777" w:rsidR="00635402" w:rsidRDefault="00635402"/>
    <w:tbl>
      <w:tblPr>
        <w:tblStyle w:val="PlainTable3"/>
        <w:tblW w:w="0" w:type="auto"/>
        <w:tblLook w:val="04A0" w:firstRow="1" w:lastRow="0" w:firstColumn="1" w:lastColumn="0" w:noHBand="0" w:noVBand="1"/>
      </w:tblPr>
      <w:tblGrid>
        <w:gridCol w:w="1052"/>
        <w:gridCol w:w="2908"/>
        <w:gridCol w:w="2269"/>
        <w:gridCol w:w="2268"/>
      </w:tblGrid>
      <w:tr w:rsidR="002B6CF4" w14:paraId="12748703" w14:textId="77777777" w:rsidTr="00057D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728C7691" w14:textId="77777777" w:rsidR="002B6CF4" w:rsidRDefault="002B6CF4" w:rsidP="00057DAD">
            <w:r>
              <w:t>DATE</w:t>
            </w:r>
          </w:p>
        </w:tc>
        <w:tc>
          <w:tcPr>
            <w:tcW w:w="2908" w:type="dxa"/>
          </w:tcPr>
          <w:p w14:paraId="11AD8BFE"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49E057BB"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3E926D36" w14:textId="77777777" w:rsidR="002B6CF4" w:rsidRDefault="002B6CF4" w:rsidP="00057DAD">
            <w:pPr>
              <w:cnfStyle w:val="100000000000" w:firstRow="1" w:lastRow="0" w:firstColumn="0" w:lastColumn="0" w:oddVBand="0" w:evenVBand="0" w:oddHBand="0" w:evenHBand="0" w:firstRowFirstColumn="0" w:firstRowLastColumn="0" w:lastRowFirstColumn="0" w:lastRowLastColumn="0"/>
            </w:pPr>
            <w:r>
              <w:t>CR</w:t>
            </w:r>
          </w:p>
        </w:tc>
      </w:tr>
      <w:tr w:rsidR="002B6CF4" w14:paraId="22CB236D" w14:textId="77777777" w:rsidTr="0005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1B6C4221" w14:textId="77777777" w:rsidR="002B6CF4" w:rsidRDefault="002B6CF4" w:rsidP="00057DAD"/>
        </w:tc>
        <w:tc>
          <w:tcPr>
            <w:tcW w:w="2908" w:type="dxa"/>
          </w:tcPr>
          <w:p w14:paraId="23319CC5" w14:textId="77777777" w:rsid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Cash</w:t>
            </w:r>
          </w:p>
          <w:p w14:paraId="4157EE8F" w14:textId="77777777" w:rsid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Westinghouse liabilities</w:t>
            </w:r>
          </w:p>
          <w:p w14:paraId="6567B83E" w14:textId="77777777" w:rsidR="002B6CF4"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 xml:space="preserve">    </w:t>
            </w:r>
            <w:r w:rsidRPr="006B7EF1">
              <w:rPr>
                <w:color w:val="4472C4" w:themeColor="accent5"/>
              </w:rPr>
              <w:t>Westinghouse assets</w:t>
            </w:r>
          </w:p>
          <w:p w14:paraId="571409A0" w14:textId="77777777" w:rsidR="002B6CF4" w:rsidRDefault="006B7EF1" w:rsidP="006B7EF1">
            <w:pPr>
              <w:cnfStyle w:val="000000100000" w:firstRow="0" w:lastRow="0" w:firstColumn="0" w:lastColumn="0" w:oddVBand="0" w:evenVBand="0" w:oddHBand="1" w:evenHBand="0" w:firstRowFirstColumn="0" w:firstRowLastColumn="0" w:lastRowFirstColumn="0" w:lastRowLastColumn="0"/>
            </w:pPr>
            <w:r>
              <w:rPr>
                <w:color w:val="4472C4" w:themeColor="accent5"/>
              </w:rPr>
              <w:t xml:space="preserve">    Gain on </w:t>
            </w:r>
            <w:r w:rsidR="00630AFD">
              <w:rPr>
                <w:color w:val="4472C4" w:themeColor="accent5"/>
              </w:rPr>
              <w:t xml:space="preserve">asset </w:t>
            </w:r>
            <w:r>
              <w:rPr>
                <w:color w:val="4472C4" w:themeColor="accent5"/>
              </w:rPr>
              <w:t>sale</w:t>
            </w:r>
          </w:p>
        </w:tc>
        <w:tc>
          <w:tcPr>
            <w:tcW w:w="2269" w:type="dxa"/>
          </w:tcPr>
          <w:p w14:paraId="36C21691" w14:textId="77777777" w:rsidR="002B6CF4" w:rsidRP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sidRPr="006B7EF1">
              <w:rPr>
                <w:color w:val="4472C4" w:themeColor="accent5"/>
              </w:rPr>
              <w:t>4B</w:t>
            </w:r>
          </w:p>
          <w:p w14:paraId="4EE8918A" w14:textId="77777777" w:rsidR="006B7EF1" w:rsidRDefault="006B7EF1" w:rsidP="00057DAD">
            <w:pPr>
              <w:cnfStyle w:val="000000100000" w:firstRow="0" w:lastRow="0" w:firstColumn="0" w:lastColumn="0" w:oddVBand="0" w:evenVBand="0" w:oddHBand="1" w:evenHBand="0" w:firstRowFirstColumn="0" w:firstRowLastColumn="0" w:lastRowFirstColumn="0" w:lastRowLastColumn="0"/>
            </w:pPr>
            <w:r w:rsidRPr="006B7EF1">
              <w:rPr>
                <w:color w:val="4472C4" w:themeColor="accent5"/>
              </w:rPr>
              <w:t>0.6B</w:t>
            </w:r>
          </w:p>
        </w:tc>
        <w:tc>
          <w:tcPr>
            <w:tcW w:w="2268" w:type="dxa"/>
          </w:tcPr>
          <w:p w14:paraId="4B24454E" w14:textId="77777777" w:rsidR="002B6CF4" w:rsidRDefault="002B6CF4" w:rsidP="00057DAD">
            <w:pPr>
              <w:cnfStyle w:val="000000100000" w:firstRow="0" w:lastRow="0" w:firstColumn="0" w:lastColumn="0" w:oddVBand="0" w:evenVBand="0" w:oddHBand="1" w:evenHBand="0" w:firstRowFirstColumn="0" w:firstRowLastColumn="0" w:lastRowFirstColumn="0" w:lastRowLastColumn="0"/>
            </w:pPr>
          </w:p>
          <w:p w14:paraId="4983A9F0" w14:textId="77777777" w:rsidR="006B7EF1" w:rsidRDefault="006B7EF1" w:rsidP="00057DAD">
            <w:pPr>
              <w:cnfStyle w:val="000000100000" w:firstRow="0" w:lastRow="0" w:firstColumn="0" w:lastColumn="0" w:oddVBand="0" w:evenVBand="0" w:oddHBand="1" w:evenHBand="0" w:firstRowFirstColumn="0" w:firstRowLastColumn="0" w:lastRowFirstColumn="0" w:lastRowLastColumn="0"/>
            </w:pPr>
          </w:p>
          <w:p w14:paraId="5B1B258A" w14:textId="77777777" w:rsidR="006B7EF1" w:rsidRDefault="006B7EF1" w:rsidP="00057DAD">
            <w:pPr>
              <w:cnfStyle w:val="000000100000" w:firstRow="0" w:lastRow="0" w:firstColumn="0" w:lastColumn="0" w:oddVBand="0" w:evenVBand="0" w:oddHBand="1" w:evenHBand="0" w:firstRowFirstColumn="0" w:firstRowLastColumn="0" w:lastRowFirstColumn="0" w:lastRowLastColumn="0"/>
              <w:rPr>
                <w:color w:val="4472C4" w:themeColor="accent5"/>
              </w:rPr>
            </w:pPr>
            <w:commentRangeStart w:id="7"/>
            <w:r w:rsidRPr="006B7EF1">
              <w:rPr>
                <w:color w:val="4472C4" w:themeColor="accent5"/>
              </w:rPr>
              <w:t>3.</w:t>
            </w:r>
            <w:r w:rsidR="007249AC">
              <w:rPr>
                <w:color w:val="4472C4" w:themeColor="accent5"/>
              </w:rPr>
              <w:t>7</w:t>
            </w:r>
            <w:r w:rsidRPr="006B7EF1">
              <w:rPr>
                <w:color w:val="4472C4" w:themeColor="accent5"/>
              </w:rPr>
              <w:t>B</w:t>
            </w:r>
            <w:commentRangeEnd w:id="7"/>
            <w:r w:rsidR="003244DB">
              <w:rPr>
                <w:rStyle w:val="CommentReference"/>
                <w:rFonts w:ascii="Liberation Serif" w:eastAsia="Droid Sans Fallback" w:hAnsi="Liberation Serif" w:cs="Mangal"/>
                <w:lang w:eastAsia="zh-CN" w:bidi="hi-IN"/>
              </w:rPr>
              <w:commentReference w:id="7"/>
            </w:r>
          </w:p>
          <w:p w14:paraId="3B7C18AB" w14:textId="77777777" w:rsidR="006B7EF1" w:rsidRPr="006B7EF1" w:rsidRDefault="007249AC" w:rsidP="00057DAD">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0.9</w:t>
            </w:r>
            <w:r w:rsidR="006B7EF1">
              <w:rPr>
                <w:color w:val="4472C4" w:themeColor="accent5"/>
              </w:rPr>
              <w:t>B</w:t>
            </w:r>
          </w:p>
        </w:tc>
      </w:tr>
    </w:tbl>
    <w:p w14:paraId="661AD520" w14:textId="77777777" w:rsidR="002B6CF4" w:rsidRDefault="002B6CF4" w:rsidP="006B7EF1"/>
    <w:sectPr w:rsidR="002B6CF4">
      <w:headerReference w:type="default" r:id="rId13"/>
      <w:pgSz w:w="12240" w:h="15840"/>
      <w:pgMar w:top="1693" w:right="1134" w:bottom="1134" w:left="1134" w:header="1134" w:footer="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ichard Crowley" w:date="2019-10-14T10:53:00Z" w:initials="RC">
    <w:p w14:paraId="5C5A005C" w14:textId="1BB845D6" w:rsidR="003244DB" w:rsidRDefault="003244DB" w:rsidP="003244DB">
      <w:pPr>
        <w:pStyle w:val="CommentText"/>
      </w:pPr>
      <w:r>
        <w:rPr>
          <w:rStyle w:val="CommentReference"/>
        </w:rPr>
        <w:annotationRef/>
      </w:r>
      <w:r>
        <w:rPr>
          <w:rStyle w:val="CommentReference"/>
        </w:rPr>
        <w:annotationRef/>
      </w:r>
      <w:r>
        <w:t>2 points: both “Lowest COGS” and “Highest COGS” are correct</w:t>
      </w:r>
      <w:r w:rsidR="00FA07FA">
        <w:t xml:space="preserve"> (for highest, can write “Periodic LIFO,” “Perpetual LIFO,” “LIFO”, or anything </w:t>
      </w:r>
      <w:proofErr w:type="gramStart"/>
      <w:r w:rsidR="00FA07FA">
        <w:t>along the lines of</w:t>
      </w:r>
      <w:proofErr w:type="gramEnd"/>
      <w:r w:rsidR="00FA07FA">
        <w:t xml:space="preserve"> “either LIFO”</w:t>
      </w:r>
    </w:p>
    <w:p w14:paraId="03CCC1D6" w14:textId="77777777" w:rsidR="003244DB" w:rsidRDefault="003244DB" w:rsidP="003244DB">
      <w:pPr>
        <w:pStyle w:val="CommentText"/>
      </w:pPr>
    </w:p>
    <w:p w14:paraId="6134DE3F" w14:textId="6D36F9AB" w:rsidR="003244DB" w:rsidRDefault="003244DB" w:rsidP="003244DB">
      <w:pPr>
        <w:pStyle w:val="CommentText"/>
      </w:pPr>
      <w:r>
        <w:t xml:space="preserve">1 point: 1 of “Lowest COGS” and “Highest COGS” are correct, or both are wrong but workings for answers </w:t>
      </w:r>
      <w:r w:rsidR="005961B4">
        <w:t>are</w:t>
      </w:r>
      <w:r>
        <w:t xml:space="preserve"> shown</w:t>
      </w:r>
    </w:p>
    <w:p w14:paraId="443EF6DF" w14:textId="77777777" w:rsidR="003244DB" w:rsidRDefault="003244DB" w:rsidP="003244DB">
      <w:pPr>
        <w:pStyle w:val="CommentText"/>
      </w:pPr>
    </w:p>
    <w:p w14:paraId="5D1200A2" w14:textId="2E56A8F5" w:rsidR="003244DB" w:rsidRDefault="003244DB">
      <w:pPr>
        <w:pStyle w:val="CommentText"/>
      </w:pPr>
      <w:r>
        <w:t>0 points: Wrong amounts and no workings shown</w:t>
      </w:r>
    </w:p>
  </w:comment>
  <w:comment w:id="1" w:author="Richard Crowley" w:date="2019-10-14T10:53:00Z" w:initials="RC">
    <w:p w14:paraId="0997CFEC" w14:textId="77777777" w:rsidR="003244DB" w:rsidRDefault="003244DB" w:rsidP="003244DB">
      <w:pPr>
        <w:pStyle w:val="CommentText"/>
      </w:pPr>
      <w:r>
        <w:rPr>
          <w:rStyle w:val="CommentReference"/>
        </w:rPr>
        <w:annotationRef/>
      </w:r>
      <w:r>
        <w:rPr>
          <w:rStyle w:val="CommentReference"/>
        </w:rPr>
        <w:annotationRef/>
      </w:r>
      <w:r>
        <w:t>1 point for each part.</w:t>
      </w:r>
    </w:p>
    <w:p w14:paraId="20105213" w14:textId="77777777" w:rsidR="003244DB" w:rsidRDefault="003244DB" w:rsidP="003244DB">
      <w:pPr>
        <w:pStyle w:val="CommentText"/>
      </w:pPr>
      <w:r>
        <w:t>If an earlier part is wrong, recalculate later parts to see if the workings are correct.  Correct workings = full points.</w:t>
      </w:r>
    </w:p>
    <w:p w14:paraId="2D29655D" w14:textId="77777777" w:rsidR="003244DB" w:rsidRDefault="003244DB" w:rsidP="003244DB">
      <w:pPr>
        <w:pStyle w:val="CommentText"/>
      </w:pPr>
    </w:p>
    <w:p w14:paraId="28227F0C" w14:textId="77777777" w:rsidR="003244DB" w:rsidRDefault="003244DB" w:rsidP="003244DB">
      <w:pPr>
        <w:pStyle w:val="CommentText"/>
      </w:pPr>
      <w:r>
        <w:t>For instance, if 15000 was put for part 1, then it would be fine for part 2 to have 15000/10 x 6/12 = 750 for depreciation, leading to an NAV of 17000 – 750 = 16250.</w:t>
      </w:r>
    </w:p>
    <w:p w14:paraId="4E70B62B" w14:textId="77777777" w:rsidR="003244DB" w:rsidRDefault="003244DB" w:rsidP="003244DB">
      <w:pPr>
        <w:pStyle w:val="CommentText"/>
      </w:pPr>
    </w:p>
    <w:p w14:paraId="55095C0C" w14:textId="77777777" w:rsidR="003244DB" w:rsidRDefault="003244DB" w:rsidP="003244DB">
      <w:pPr>
        <w:pStyle w:val="CommentText"/>
      </w:pPr>
      <w:r>
        <w:t>½ point given for part 1 if cost is correct.</w:t>
      </w:r>
    </w:p>
    <w:p w14:paraId="631D1CB0" w14:textId="77777777" w:rsidR="003244DB" w:rsidRDefault="003244DB" w:rsidP="003244DB">
      <w:pPr>
        <w:pStyle w:val="CommentText"/>
      </w:pPr>
      <w:r>
        <w:t>½ point for part 2 if substantial progress made, such as calculating:</w:t>
      </w:r>
    </w:p>
    <w:p w14:paraId="6EE26E17" w14:textId="77777777" w:rsidR="003244DB" w:rsidRDefault="003244DB" w:rsidP="003244DB">
      <w:pPr>
        <w:pStyle w:val="CommentText"/>
        <w:numPr>
          <w:ilvl w:val="0"/>
          <w:numId w:val="2"/>
        </w:numPr>
      </w:pPr>
      <w:r>
        <w:t xml:space="preserve"> Full year depreciation </w:t>
      </w:r>
    </w:p>
    <w:p w14:paraId="7FA6669B" w14:textId="77777777" w:rsidR="003244DB" w:rsidRDefault="003244DB" w:rsidP="003244DB">
      <w:pPr>
        <w:pStyle w:val="CommentText"/>
        <w:numPr>
          <w:ilvl w:val="0"/>
          <w:numId w:val="2"/>
        </w:numPr>
      </w:pPr>
      <w:r>
        <w:t xml:space="preserve"> Having correct workings but incorrect calculation</w:t>
      </w:r>
    </w:p>
    <w:p w14:paraId="2DBB4B0F" w14:textId="77777777" w:rsidR="003244DB" w:rsidRDefault="003244DB" w:rsidP="003244DB">
      <w:pPr>
        <w:pStyle w:val="CommentText"/>
        <w:numPr>
          <w:ilvl w:val="0"/>
          <w:numId w:val="2"/>
        </w:numPr>
      </w:pPr>
      <w:r>
        <w:t xml:space="preserve"> Having correct depreciation amount but wrong NAV</w:t>
      </w:r>
    </w:p>
    <w:p w14:paraId="396EB53B" w14:textId="6AA051AB" w:rsidR="003244DB" w:rsidRDefault="003244DB">
      <w:pPr>
        <w:pStyle w:val="CommentText"/>
      </w:pPr>
      <w:r>
        <w:t xml:space="preserve">½ point for part 3 if correctly capturing the cash of 23,000 and </w:t>
      </w:r>
      <w:r w:rsidR="00600A9E">
        <w:t xml:space="preserve">at least one of 1) </w:t>
      </w:r>
      <w:r>
        <w:t>historical cost of the answer to part 1 + 2000 in salvage value</w:t>
      </w:r>
      <w:r w:rsidR="00600A9E">
        <w:t xml:space="preserve"> or 2) correct gain on sale amount</w:t>
      </w:r>
      <w:r>
        <w:t>.</w:t>
      </w:r>
    </w:p>
  </w:comment>
  <w:comment w:id="2" w:author="Richard Crowley" w:date="2019-10-14T10:53:00Z" w:initials="RC">
    <w:p w14:paraId="7F3E5531" w14:textId="6A68CD47" w:rsidR="003244DB" w:rsidRDefault="003244DB">
      <w:pPr>
        <w:pStyle w:val="CommentText"/>
      </w:pPr>
      <w:r>
        <w:rPr>
          <w:rStyle w:val="CommentReference"/>
        </w:rPr>
        <w:annotationRef/>
      </w:r>
      <w:r>
        <w:rPr>
          <w:rStyle w:val="CommentReference"/>
        </w:rPr>
        <w:annotationRef/>
      </w:r>
      <w:r>
        <w:t xml:space="preserve">Make sure to record this at historical cost (i.e., what is in the general ledger).  If you put the NAV here, you are double counting accumulated </w:t>
      </w:r>
      <w:proofErr w:type="gramStart"/>
      <w:r>
        <w:t>depreciation, since</w:t>
      </w:r>
      <w:proofErr w:type="gramEnd"/>
      <w:r>
        <w:t xml:space="preserve"> we already have accumulated depreciation in this entry and NAV = Cost – Accumulated Depreciation.</w:t>
      </w:r>
    </w:p>
  </w:comment>
  <w:comment w:id="3" w:author="Richard Crowley" w:date="2019-10-14T10:53:00Z" w:initials="RC">
    <w:p w14:paraId="61AAF9FE" w14:textId="77777777" w:rsidR="003244DB" w:rsidRDefault="003244DB" w:rsidP="003244DB">
      <w:pPr>
        <w:pStyle w:val="CommentText"/>
      </w:pPr>
      <w:r>
        <w:rPr>
          <w:rStyle w:val="CommentReference"/>
        </w:rPr>
        <w:annotationRef/>
      </w:r>
      <w:r>
        <w:rPr>
          <w:rStyle w:val="CommentReference"/>
        </w:rPr>
        <w:annotationRef/>
      </w:r>
      <w:r>
        <w:t>1 point per calculation</w:t>
      </w:r>
    </w:p>
    <w:p w14:paraId="77457CEE" w14:textId="77777777" w:rsidR="003244DB" w:rsidRDefault="003244DB" w:rsidP="003244DB">
      <w:pPr>
        <w:pStyle w:val="CommentText"/>
      </w:pPr>
    </w:p>
    <w:p w14:paraId="3FD6B9BC" w14:textId="5E39BA98" w:rsidR="003244DB" w:rsidRDefault="003244DB" w:rsidP="003244DB">
      <w:pPr>
        <w:pStyle w:val="CommentText"/>
      </w:pPr>
      <w:r>
        <w:t>½ point for part 1 if correct formula used (double declining balance, with something x 2/years) or if correctly adding in the 3,000 of improvement.</w:t>
      </w:r>
    </w:p>
    <w:p w14:paraId="42A64220" w14:textId="76B36703" w:rsidR="003244DB" w:rsidRDefault="003244DB">
      <w:pPr>
        <w:pStyle w:val="CommentText"/>
      </w:pPr>
      <w:r>
        <w:t>½ point for part 2 if switched to 5 years instead of 10.</w:t>
      </w:r>
    </w:p>
  </w:comment>
  <w:comment w:id="4" w:author="Richard Crowley" w:date="2019-10-14T10:55:00Z" w:initials="RC">
    <w:p w14:paraId="4AD5C092" w14:textId="77777777" w:rsidR="003244DB" w:rsidRDefault="003244DB" w:rsidP="003244DB">
      <w:pPr>
        <w:pStyle w:val="CommentText"/>
      </w:pPr>
      <w:r>
        <w:rPr>
          <w:rStyle w:val="CommentReference"/>
        </w:rPr>
        <w:annotationRef/>
      </w:r>
      <w:r>
        <w:rPr>
          <w:rStyle w:val="CommentReference"/>
        </w:rPr>
        <w:annotationRef/>
      </w:r>
      <w:r>
        <w:t>1 point per correct journal entry</w:t>
      </w:r>
    </w:p>
    <w:p w14:paraId="054976E9" w14:textId="77777777" w:rsidR="003244DB" w:rsidRDefault="003244DB" w:rsidP="003244DB">
      <w:pPr>
        <w:pStyle w:val="CommentText"/>
      </w:pPr>
    </w:p>
    <w:p w14:paraId="6E638243" w14:textId="77777777" w:rsidR="003244DB" w:rsidRDefault="003244DB" w:rsidP="003244DB">
      <w:pPr>
        <w:pStyle w:val="CommentText"/>
      </w:pPr>
      <w:r>
        <w:t>Any reasonable account names are OK here, particularly for the Westinghouse-related accounts.</w:t>
      </w:r>
    </w:p>
    <w:p w14:paraId="7A893853" w14:textId="77777777" w:rsidR="003244DB" w:rsidRDefault="003244DB" w:rsidP="003244DB">
      <w:pPr>
        <w:pStyle w:val="CommentText"/>
      </w:pPr>
    </w:p>
    <w:p w14:paraId="7D42CF3F" w14:textId="77777777" w:rsidR="003244DB" w:rsidRDefault="003244DB" w:rsidP="003244DB">
      <w:pPr>
        <w:pStyle w:val="CommentText"/>
      </w:pPr>
      <w:r>
        <w:t>½ point for part 1 if wrong but attempted.</w:t>
      </w:r>
    </w:p>
    <w:p w14:paraId="071590E9" w14:textId="77777777" w:rsidR="003244DB" w:rsidRDefault="003244DB" w:rsidP="003244DB">
      <w:pPr>
        <w:pStyle w:val="CommentText"/>
      </w:pPr>
      <w:r>
        <w:t>½ point for part 2 if wrong but attempted.</w:t>
      </w:r>
    </w:p>
    <w:p w14:paraId="78A4025F" w14:textId="36D9784A" w:rsidR="003244DB" w:rsidRDefault="003244DB">
      <w:pPr>
        <w:pStyle w:val="CommentText"/>
      </w:pPr>
      <w:r>
        <w:t>½ point for part 3 if wrong but attempted.</w:t>
      </w:r>
    </w:p>
  </w:comment>
  <w:comment w:id="5" w:author="Richard Crowley" w:date="2019-10-14T10:55:00Z" w:initials="RC">
    <w:p w14:paraId="1984F855" w14:textId="77777777" w:rsidR="003244DB" w:rsidRDefault="003244DB" w:rsidP="003244DB">
      <w:pPr>
        <w:pStyle w:val="CommentText"/>
      </w:pPr>
      <w:r>
        <w:rPr>
          <w:rStyle w:val="CommentReference"/>
        </w:rPr>
        <w:annotationRef/>
      </w:r>
      <w:r>
        <w:rPr>
          <w:rStyle w:val="CommentReference"/>
        </w:rPr>
        <w:annotationRef/>
      </w:r>
      <w:r>
        <w:t>OK to split into 3.7B of assets and 0.6B credit to liabilities.</w:t>
      </w:r>
    </w:p>
    <w:p w14:paraId="1D378463" w14:textId="77777777" w:rsidR="003244DB" w:rsidRDefault="003244DB" w:rsidP="003244DB">
      <w:pPr>
        <w:pStyle w:val="CommentText"/>
      </w:pPr>
    </w:p>
    <w:p w14:paraId="6EE416EF" w14:textId="341AA783" w:rsidR="003244DB" w:rsidRDefault="003244DB">
      <w:pPr>
        <w:pStyle w:val="CommentText"/>
      </w:pPr>
      <w:r>
        <w:t>Any reasonable account name is fine here.</w:t>
      </w:r>
    </w:p>
  </w:comment>
  <w:comment w:id="6" w:author="Richard Crowley" w:date="2019-10-14T10:55:00Z" w:initials="RC">
    <w:p w14:paraId="734AEAD5" w14:textId="0B7E5830" w:rsidR="003244DB" w:rsidRDefault="003244DB">
      <w:pPr>
        <w:pStyle w:val="CommentText"/>
      </w:pPr>
      <w:r>
        <w:rPr>
          <w:rStyle w:val="CommentReference"/>
        </w:rPr>
        <w:annotationRef/>
      </w:r>
      <w:r>
        <w:rPr>
          <w:rStyle w:val="CommentReference"/>
        </w:rPr>
        <w:annotationRef/>
      </w:r>
      <w:r>
        <w:t>“Impairment loss” is also fine</w:t>
      </w:r>
    </w:p>
  </w:comment>
  <w:comment w:id="7" w:author="Richard Crowley" w:date="2019-10-14T10:55:00Z" w:initials="RC">
    <w:p w14:paraId="4C7319FB" w14:textId="77777777" w:rsidR="003244DB" w:rsidRDefault="003244DB" w:rsidP="003244DB">
      <w:pPr>
        <w:pStyle w:val="CommentText"/>
      </w:pPr>
      <w:r>
        <w:rPr>
          <w:rStyle w:val="CommentReference"/>
        </w:rPr>
        <w:annotationRef/>
      </w:r>
      <w:r>
        <w:rPr>
          <w:rStyle w:val="CommentReference"/>
        </w:rPr>
        <w:annotationRef/>
      </w:r>
      <w:r>
        <w:t>This is 3.7B as the net assets = 3.1B and liabilities = 0.6B.</w:t>
      </w:r>
    </w:p>
    <w:p w14:paraId="76B8A040" w14:textId="77777777" w:rsidR="003244DB" w:rsidRDefault="003244DB" w:rsidP="003244DB">
      <w:pPr>
        <w:pStyle w:val="CommentText"/>
      </w:pPr>
    </w:p>
    <w:p w14:paraId="23E8B0F0" w14:textId="77777777" w:rsidR="003244DB" w:rsidRDefault="003244DB" w:rsidP="003244DB">
      <w:pPr>
        <w:pStyle w:val="CommentText"/>
      </w:pPr>
      <w:r>
        <w:t>3.1B = Assets – 0.6B =&gt; Assets = 3.7B.</w:t>
      </w:r>
    </w:p>
    <w:p w14:paraId="30D89A11" w14:textId="77777777" w:rsidR="003244DB" w:rsidRDefault="003244DB" w:rsidP="003244DB">
      <w:pPr>
        <w:pStyle w:val="CommentText"/>
      </w:pPr>
    </w:p>
    <w:p w14:paraId="0A096F0E" w14:textId="0C9E4A01" w:rsidR="003244DB" w:rsidRDefault="003244DB">
      <w:pPr>
        <w:pStyle w:val="CommentText"/>
      </w:pPr>
      <w:r>
        <w:t xml:space="preserve">No points taken off if this was missed and you put 3.1B for assets and 1.5B for gain on asset sale, equivalent to assuming that the liabilities were acquired while Westinghouse was owned by Toshiba.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1200A2" w15:done="0"/>
  <w15:commentEx w15:paraId="396EB53B" w15:done="0"/>
  <w15:commentEx w15:paraId="7F3E5531" w15:done="0"/>
  <w15:commentEx w15:paraId="42A64220" w15:done="0"/>
  <w15:commentEx w15:paraId="78A4025F" w15:done="0"/>
  <w15:commentEx w15:paraId="6EE416EF" w15:done="0"/>
  <w15:commentEx w15:paraId="734AEAD5" w15:done="0"/>
  <w15:commentEx w15:paraId="0A096F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200A2" w16cid:durableId="214ED20C"/>
  <w16cid:commentId w16cid:paraId="396EB53B" w16cid:durableId="214ED218"/>
  <w16cid:commentId w16cid:paraId="7F3E5531" w16cid:durableId="214ED224"/>
  <w16cid:commentId w16cid:paraId="42A64220" w16cid:durableId="214ED233"/>
  <w16cid:commentId w16cid:paraId="78A4025F" w16cid:durableId="214ED292"/>
  <w16cid:commentId w16cid:paraId="6EE416EF" w16cid:durableId="214ED29C"/>
  <w16cid:commentId w16cid:paraId="734AEAD5" w16cid:durableId="214ED2A4"/>
  <w16cid:commentId w16cid:paraId="0A096F0E" w16cid:durableId="214ED2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0804" w14:textId="77777777" w:rsidR="00A544AF" w:rsidRDefault="00A544AF">
      <w:r>
        <w:separator/>
      </w:r>
    </w:p>
  </w:endnote>
  <w:endnote w:type="continuationSeparator" w:id="0">
    <w:p w14:paraId="7A9A402B" w14:textId="77777777" w:rsidR="00A544AF" w:rsidRDefault="00A5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panose1 w:val="020B0604020202020204"/>
    <w:charset w:val="01"/>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92EE4" w14:textId="77777777" w:rsidR="00A544AF" w:rsidRDefault="00A544AF">
      <w:r>
        <w:separator/>
      </w:r>
    </w:p>
  </w:footnote>
  <w:footnote w:type="continuationSeparator" w:id="0">
    <w:p w14:paraId="275C22D5" w14:textId="77777777" w:rsidR="00A544AF" w:rsidRDefault="00A5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C1B49" w14:textId="024E2F09" w:rsidR="00635402" w:rsidRDefault="00A544AF">
    <w:pPr>
      <w:pStyle w:val="Header"/>
    </w:pPr>
    <w:r>
      <w:rPr>
        <w:noProof/>
        <w:lang w:eastAsia="en-US" w:bidi="ar-SA"/>
      </w:rPr>
      <w:pict w14:anchorId="3245A2CD">
        <v:shapetype id="_x0000_t202" coordsize="21600,21600" o:spt="202" path="m,l,21600r21600,l21600,xe">
          <v:stroke joinstyle="miter"/>
          <v:path gradientshapeok="t" o:connecttype="rect"/>
        </v:shapetype>
        <v:shape id="MSIPCM84fd45688142b4c0dbeb8649" o:spid="_x0000_s2049" type="#_x0000_t202" alt="{&quot;HashCode&quot;:-1796304455,&quot;Height&quot;:792.0,&quot;Width&quot;:612.0,&quot;Placement&quot;:&quot;Header&quot;,&quot;Index&quot;:&quot;Primary&quot;,&quot;Section&quot;:1,&quot;Top&quot;:0.0,&quot;Left&quot;:0.0}" style="position:absolute;margin-left:0;margin-top:15pt;width:612pt;height:21.55pt;z-index:251658240;mso-wrap-style:square;mso-position-horizontal:absolute;mso-position-horizontal-relative:page;mso-position-vertical:absolute;mso-position-vertical-relative:page;v-text-anchor:top" o:allowincell="f" filled="f" stroked="f">
          <v:textbox inset=",0,,0">
            <w:txbxContent>
              <w:p w14:paraId="348353D0" w14:textId="77777777" w:rsidR="002B6CF4" w:rsidRPr="002B6CF4" w:rsidRDefault="002B6CF4" w:rsidP="002B6CF4">
                <w:pPr>
                  <w:jc w:val="center"/>
                  <w:rPr>
                    <w:rFonts w:ascii="Calibri" w:hAnsi="Calibri" w:cs="Calibri"/>
                    <w:color w:val="333333"/>
                    <w:sz w:val="16"/>
                  </w:rPr>
                </w:pPr>
              </w:p>
            </w:txbxContent>
          </v:textbox>
          <w10:wrap anchorx="page" anchory="page"/>
        </v:shape>
      </w:pict>
    </w:r>
    <w:r w:rsidR="003F67E3">
      <w:t>Homework #3</w:t>
    </w:r>
    <w:r w:rsidR="003F67E3">
      <w:tab/>
    </w:r>
    <w:r w:rsidR="003F67E3">
      <w:tab/>
      <w:t>Prepared by Dr. Richard M. Crowley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F40CC"/>
    <w:multiLevelType w:val="hybridMultilevel"/>
    <w:tmpl w:val="088E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91B8F"/>
    <w:multiLevelType w:val="hybridMultilevel"/>
    <w:tmpl w:val="1270A498"/>
    <w:lvl w:ilvl="0" w:tplc="EDEAB36E">
      <w:start w:val="1"/>
      <w:numFmt w:val="bullet"/>
      <w:lvlText w:val="-"/>
      <w:lvlJc w:val="left"/>
      <w:pPr>
        <w:ind w:left="563" w:hanging="360"/>
      </w:pPr>
      <w:rPr>
        <w:rFonts w:ascii="Liberation Serif" w:eastAsia="Droid Sans Fallback" w:hAnsi="Liberation Serif" w:cs="Liberation Serif" w:hint="default"/>
      </w:rPr>
    </w:lvl>
    <w:lvl w:ilvl="1" w:tplc="04090003" w:tentative="1">
      <w:start w:val="1"/>
      <w:numFmt w:val="bullet"/>
      <w:lvlText w:val="o"/>
      <w:lvlJc w:val="left"/>
      <w:pPr>
        <w:ind w:left="1283" w:hanging="360"/>
      </w:pPr>
      <w:rPr>
        <w:rFonts w:ascii="Courier New" w:hAnsi="Courier New" w:cs="Courier New" w:hint="default"/>
      </w:rPr>
    </w:lvl>
    <w:lvl w:ilvl="2" w:tplc="04090005" w:tentative="1">
      <w:start w:val="1"/>
      <w:numFmt w:val="bullet"/>
      <w:lvlText w:val=""/>
      <w:lvlJc w:val="left"/>
      <w:pPr>
        <w:ind w:left="2003" w:hanging="360"/>
      </w:pPr>
      <w:rPr>
        <w:rFonts w:ascii="Wingdings" w:hAnsi="Wingdings" w:hint="default"/>
      </w:rPr>
    </w:lvl>
    <w:lvl w:ilvl="3" w:tplc="04090001" w:tentative="1">
      <w:start w:val="1"/>
      <w:numFmt w:val="bullet"/>
      <w:lvlText w:val=""/>
      <w:lvlJc w:val="left"/>
      <w:pPr>
        <w:ind w:left="2723" w:hanging="360"/>
      </w:pPr>
      <w:rPr>
        <w:rFonts w:ascii="Symbol" w:hAnsi="Symbol" w:hint="default"/>
      </w:rPr>
    </w:lvl>
    <w:lvl w:ilvl="4" w:tplc="04090003" w:tentative="1">
      <w:start w:val="1"/>
      <w:numFmt w:val="bullet"/>
      <w:lvlText w:val="o"/>
      <w:lvlJc w:val="left"/>
      <w:pPr>
        <w:ind w:left="3443" w:hanging="360"/>
      </w:pPr>
      <w:rPr>
        <w:rFonts w:ascii="Courier New" w:hAnsi="Courier New" w:cs="Courier New" w:hint="default"/>
      </w:rPr>
    </w:lvl>
    <w:lvl w:ilvl="5" w:tplc="04090005" w:tentative="1">
      <w:start w:val="1"/>
      <w:numFmt w:val="bullet"/>
      <w:lvlText w:val=""/>
      <w:lvlJc w:val="left"/>
      <w:pPr>
        <w:ind w:left="4163" w:hanging="360"/>
      </w:pPr>
      <w:rPr>
        <w:rFonts w:ascii="Wingdings" w:hAnsi="Wingdings" w:hint="default"/>
      </w:rPr>
    </w:lvl>
    <w:lvl w:ilvl="6" w:tplc="04090001" w:tentative="1">
      <w:start w:val="1"/>
      <w:numFmt w:val="bullet"/>
      <w:lvlText w:val=""/>
      <w:lvlJc w:val="left"/>
      <w:pPr>
        <w:ind w:left="4883" w:hanging="360"/>
      </w:pPr>
      <w:rPr>
        <w:rFonts w:ascii="Symbol" w:hAnsi="Symbol" w:hint="default"/>
      </w:rPr>
    </w:lvl>
    <w:lvl w:ilvl="7" w:tplc="04090003" w:tentative="1">
      <w:start w:val="1"/>
      <w:numFmt w:val="bullet"/>
      <w:lvlText w:val="o"/>
      <w:lvlJc w:val="left"/>
      <w:pPr>
        <w:ind w:left="5603" w:hanging="360"/>
      </w:pPr>
      <w:rPr>
        <w:rFonts w:ascii="Courier New" w:hAnsi="Courier New" w:cs="Courier New" w:hint="default"/>
      </w:rPr>
    </w:lvl>
    <w:lvl w:ilvl="8" w:tplc="04090005" w:tentative="1">
      <w:start w:val="1"/>
      <w:numFmt w:val="bullet"/>
      <w:lvlText w:val=""/>
      <w:lvlJc w:val="left"/>
      <w:pPr>
        <w:ind w:left="6323"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Crowley">
    <w15:presenceInfo w15:providerId="Windows Live" w15:userId="ad5c117947eeb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5402"/>
    <w:rsid w:val="00063FCC"/>
    <w:rsid w:val="00072B71"/>
    <w:rsid w:val="000A4780"/>
    <w:rsid w:val="001C1EA1"/>
    <w:rsid w:val="002B32D4"/>
    <w:rsid w:val="002B6CF4"/>
    <w:rsid w:val="002C67AE"/>
    <w:rsid w:val="002E464D"/>
    <w:rsid w:val="003244DB"/>
    <w:rsid w:val="003F67E3"/>
    <w:rsid w:val="00421EA5"/>
    <w:rsid w:val="004C443B"/>
    <w:rsid w:val="0050685A"/>
    <w:rsid w:val="00594833"/>
    <w:rsid w:val="005961B4"/>
    <w:rsid w:val="005A0CEB"/>
    <w:rsid w:val="00600A9E"/>
    <w:rsid w:val="00630AFD"/>
    <w:rsid w:val="00635402"/>
    <w:rsid w:val="006B7EF1"/>
    <w:rsid w:val="006C2FC9"/>
    <w:rsid w:val="007249AC"/>
    <w:rsid w:val="009535E4"/>
    <w:rsid w:val="00A544AF"/>
    <w:rsid w:val="00AA763D"/>
    <w:rsid w:val="00B12254"/>
    <w:rsid w:val="00C157B6"/>
    <w:rsid w:val="00C33105"/>
    <w:rsid w:val="00D419DC"/>
    <w:rsid w:val="00DF43EF"/>
    <w:rsid w:val="00E81434"/>
    <w:rsid w:val="00FA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C0D25A"/>
  <w15:docId w15:val="{AE921FA2-8F5F-4949-B550-63FA6D62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table" w:styleId="PlainTable3">
    <w:name w:val="Plain Table 3"/>
    <w:basedOn w:val="TableNormal"/>
    <w:uiPriority w:val="43"/>
    <w:rsid w:val="002B6CF4"/>
    <w:rPr>
      <w:rFonts w:asciiTheme="minorHAnsi" w:eastAsiaTheme="minorHAnsi" w:hAnsiTheme="minorHAnsi" w:cstheme="minorBidi"/>
      <w:sz w:val="22"/>
      <w:szCs w:val="22"/>
      <w:lang w:eastAsia="en-US"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2B6CF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2B6CF4"/>
    <w:rPr>
      <w:rFonts w:cs="Mangal"/>
      <w:szCs w:val="21"/>
    </w:rPr>
  </w:style>
  <w:style w:type="table" w:styleId="TableGrid">
    <w:name w:val="Table Grid"/>
    <w:basedOn w:val="TableNormal"/>
    <w:uiPriority w:val="39"/>
    <w:rsid w:val="006C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C2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C2FC9"/>
    <w:pPr>
      <w:ind w:left="720"/>
      <w:contextualSpacing/>
    </w:pPr>
    <w:rPr>
      <w:rFonts w:cs="Mangal"/>
      <w:szCs w:val="21"/>
    </w:rPr>
  </w:style>
  <w:style w:type="character" w:styleId="Hyperlink">
    <w:name w:val="Hyperlink"/>
    <w:basedOn w:val="DefaultParagraphFont"/>
    <w:uiPriority w:val="99"/>
    <w:unhideWhenUsed/>
    <w:rsid w:val="00421EA5"/>
    <w:rPr>
      <w:color w:val="0563C1" w:themeColor="hyperlink"/>
      <w:u w:val="single"/>
    </w:rPr>
  </w:style>
  <w:style w:type="paragraph" w:styleId="BalloonText">
    <w:name w:val="Balloon Text"/>
    <w:basedOn w:val="Normal"/>
    <w:link w:val="BalloonTextChar"/>
    <w:uiPriority w:val="99"/>
    <w:semiHidden/>
    <w:unhideWhenUsed/>
    <w:rsid w:val="006B7EF1"/>
    <w:rPr>
      <w:rFonts w:ascii="Segoe UI" w:hAnsi="Segoe UI" w:cs="Mangal"/>
      <w:sz w:val="18"/>
      <w:szCs w:val="16"/>
    </w:rPr>
  </w:style>
  <w:style w:type="character" w:customStyle="1" w:styleId="BalloonTextChar">
    <w:name w:val="Balloon Text Char"/>
    <w:basedOn w:val="DefaultParagraphFont"/>
    <w:link w:val="BalloonText"/>
    <w:uiPriority w:val="99"/>
    <w:semiHidden/>
    <w:rsid w:val="006B7EF1"/>
    <w:rPr>
      <w:rFonts w:ascii="Segoe UI" w:hAnsi="Segoe UI" w:cs="Mangal"/>
      <w:sz w:val="18"/>
      <w:szCs w:val="16"/>
    </w:rPr>
  </w:style>
  <w:style w:type="character" w:styleId="CommentReference">
    <w:name w:val="annotation reference"/>
    <w:basedOn w:val="DefaultParagraphFont"/>
    <w:uiPriority w:val="99"/>
    <w:semiHidden/>
    <w:unhideWhenUsed/>
    <w:rsid w:val="007249AC"/>
    <w:rPr>
      <w:sz w:val="16"/>
      <w:szCs w:val="16"/>
    </w:rPr>
  </w:style>
  <w:style w:type="paragraph" w:styleId="CommentText">
    <w:name w:val="annotation text"/>
    <w:basedOn w:val="Normal"/>
    <w:link w:val="CommentTextChar"/>
    <w:uiPriority w:val="99"/>
    <w:semiHidden/>
    <w:unhideWhenUsed/>
    <w:rsid w:val="007249AC"/>
    <w:rPr>
      <w:rFonts w:cs="Mangal"/>
      <w:sz w:val="20"/>
      <w:szCs w:val="18"/>
    </w:rPr>
  </w:style>
  <w:style w:type="character" w:customStyle="1" w:styleId="CommentTextChar">
    <w:name w:val="Comment Text Char"/>
    <w:basedOn w:val="DefaultParagraphFont"/>
    <w:link w:val="CommentText"/>
    <w:uiPriority w:val="99"/>
    <w:semiHidden/>
    <w:rsid w:val="007249AC"/>
    <w:rPr>
      <w:rFonts w:cs="Mangal"/>
      <w:sz w:val="20"/>
      <w:szCs w:val="18"/>
    </w:rPr>
  </w:style>
  <w:style w:type="paragraph" w:styleId="CommentSubject">
    <w:name w:val="annotation subject"/>
    <w:basedOn w:val="CommentText"/>
    <w:next w:val="CommentText"/>
    <w:link w:val="CommentSubjectChar"/>
    <w:uiPriority w:val="99"/>
    <w:semiHidden/>
    <w:unhideWhenUsed/>
    <w:rsid w:val="007249AC"/>
    <w:rPr>
      <w:b/>
      <w:bCs/>
    </w:rPr>
  </w:style>
  <w:style w:type="character" w:customStyle="1" w:styleId="CommentSubjectChar">
    <w:name w:val="Comment Subject Char"/>
    <w:basedOn w:val="CommentTextChar"/>
    <w:link w:val="CommentSubject"/>
    <w:uiPriority w:val="99"/>
    <w:semiHidden/>
    <w:rsid w:val="007249A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9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st.com/news/business/21713896-its-share-price-plunged-40-three-days-investors-worried-about-its-financ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com/content/74afda84-f174-11e7-b220-857e26d1aca4"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FD3D5-8A66-416B-A90B-ED2AFCC1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Crowley</dc:creator>
  <cp:lastModifiedBy>Richard Crowley</cp:lastModifiedBy>
  <cp:revision>20</cp:revision>
  <dcterms:created xsi:type="dcterms:W3CDTF">2018-02-13T15:10:00Z</dcterms:created>
  <dcterms:modified xsi:type="dcterms:W3CDTF">2020-09-19T09:57:00Z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2018-02-14T10:27:24.7775295+08:00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