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883C" w14:textId="0E64348F" w:rsidR="00127E81" w:rsidRDefault="00924A64">
      <w:r>
        <w:t xml:space="preserve">1. Costa </w:t>
      </w:r>
      <w:r w:rsidR="00006E1A">
        <w:t xml:space="preserve">issues </w:t>
      </w:r>
      <w:r>
        <w:t xml:space="preserve">$1 000 000 worth of bonds at par. </w:t>
      </w:r>
      <w:r w:rsidR="00006E1A">
        <w:t xml:space="preserve">Which account </w:t>
      </w:r>
      <w:r>
        <w:t xml:space="preserve">is relevant </w:t>
      </w:r>
      <w:r w:rsidR="00006E1A">
        <w:t xml:space="preserve">for the </w:t>
      </w:r>
      <w:r>
        <w:t>journal entry?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924A64" w14:paraId="689FE377" w14:textId="77777777" w:rsidTr="00924A64">
        <w:tc>
          <w:tcPr>
            <w:tcW w:w="1129" w:type="dxa"/>
          </w:tcPr>
          <w:p w14:paraId="7BD3B463" w14:textId="601FAA1A" w:rsidR="00924A64" w:rsidRDefault="00924A64">
            <w:r>
              <w:t>Cash</w:t>
            </w:r>
          </w:p>
        </w:tc>
        <w:tc>
          <w:tcPr>
            <w:tcW w:w="1418" w:type="dxa"/>
          </w:tcPr>
          <w:p w14:paraId="03BC4496" w14:textId="2D7DDCAC" w:rsidR="00924A64" w:rsidRDefault="00006E1A">
            <w:r>
              <w:t>1,000,</w:t>
            </w:r>
            <w:r w:rsidR="00924A64">
              <w:t>000</w:t>
            </w:r>
          </w:p>
        </w:tc>
      </w:tr>
      <w:tr w:rsidR="00924A64" w14:paraId="6B34A97F" w14:textId="77777777" w:rsidTr="00924A64">
        <w:tc>
          <w:tcPr>
            <w:tcW w:w="1129" w:type="dxa"/>
          </w:tcPr>
          <w:p w14:paraId="58E6362E" w14:textId="39CD88ED" w:rsidR="00924A64" w:rsidRDefault="00924A64" w:rsidP="00924A64">
            <w:pPr>
              <w:jc w:val="right"/>
            </w:pPr>
            <w:r>
              <w:t>?</w:t>
            </w:r>
          </w:p>
        </w:tc>
        <w:tc>
          <w:tcPr>
            <w:tcW w:w="1418" w:type="dxa"/>
          </w:tcPr>
          <w:p w14:paraId="12B95669" w14:textId="0B2B1BC8" w:rsidR="00924A64" w:rsidRDefault="00006E1A" w:rsidP="00924A64">
            <w:pPr>
              <w:jc w:val="right"/>
            </w:pPr>
            <w:r>
              <w:t>1,000,</w:t>
            </w:r>
            <w:r w:rsidR="00924A64">
              <w:t>000</w:t>
            </w:r>
          </w:p>
        </w:tc>
      </w:tr>
    </w:tbl>
    <w:p w14:paraId="305BA43D" w14:textId="77777777" w:rsidR="00924A64" w:rsidRDefault="00924A64" w:rsidP="00924A64"/>
    <w:p w14:paraId="267F9A32" w14:textId="77777777" w:rsidR="00924A64" w:rsidRDefault="00924A64" w:rsidP="00924A64">
      <w:pPr>
        <w:pStyle w:val="ListParagraph"/>
        <w:numPr>
          <w:ilvl w:val="0"/>
          <w:numId w:val="2"/>
        </w:numPr>
      </w:pPr>
      <w:r>
        <w:t>Bonds payable</w:t>
      </w:r>
    </w:p>
    <w:p w14:paraId="05C558D4" w14:textId="77777777" w:rsidR="00924A64" w:rsidRDefault="00924A64" w:rsidP="00924A64">
      <w:pPr>
        <w:pStyle w:val="ListParagraph"/>
        <w:numPr>
          <w:ilvl w:val="0"/>
          <w:numId w:val="2"/>
        </w:numPr>
      </w:pPr>
      <w:r>
        <w:t>Notes payable</w:t>
      </w:r>
    </w:p>
    <w:p w14:paraId="4168F948" w14:textId="77777777" w:rsidR="00924A64" w:rsidRDefault="00924A64" w:rsidP="00924A64">
      <w:pPr>
        <w:pStyle w:val="ListParagraph"/>
        <w:numPr>
          <w:ilvl w:val="0"/>
          <w:numId w:val="2"/>
        </w:numPr>
      </w:pPr>
      <w:r>
        <w:t>Accounts payable</w:t>
      </w:r>
    </w:p>
    <w:p w14:paraId="295FD7CB" w14:textId="77777777" w:rsidR="00924A64" w:rsidRDefault="00924A64" w:rsidP="00924A64">
      <w:pPr>
        <w:pStyle w:val="ListParagraph"/>
        <w:numPr>
          <w:ilvl w:val="0"/>
          <w:numId w:val="2"/>
        </w:numPr>
      </w:pPr>
      <w:r>
        <w:t>Interest payable</w:t>
      </w:r>
    </w:p>
    <w:p w14:paraId="0B6C1B0C" w14:textId="0654344D" w:rsidR="00924A64" w:rsidRDefault="00924A64" w:rsidP="00924A64">
      <w:r>
        <w:t>Ans: A, bonds are recorded under Bonds payable</w:t>
      </w:r>
    </w:p>
    <w:p w14:paraId="5DAE5597" w14:textId="32A37402" w:rsidR="00795C08" w:rsidRDefault="00006E1A" w:rsidP="00924A64">
      <w:r>
        <w:t xml:space="preserve">2. Costa issued bonds at a coupon </w:t>
      </w:r>
      <w:r w:rsidR="00795C08">
        <w:t xml:space="preserve">rate of 7% when the </w:t>
      </w:r>
      <w:r>
        <w:t xml:space="preserve">yield </w:t>
      </w:r>
      <w:r w:rsidR="00795C08">
        <w:t>was 5%. At the time of issue, the cash received from the sales of the bond is less than the liability incurred i.e. bonds payable. True or False?</w:t>
      </w:r>
    </w:p>
    <w:p w14:paraId="75B44FF2" w14:textId="6C2801BA" w:rsidR="00795C08" w:rsidRDefault="00795C08" w:rsidP="00924A64">
      <w:r>
        <w:t xml:space="preserve">Ans: False. Since interest rate is higher than market return, it is a premium bond, meaning the cash received in higher than the bonds payable.  </w:t>
      </w:r>
    </w:p>
    <w:p w14:paraId="2EDF0354" w14:textId="68CF91E8" w:rsidR="008C2A9F" w:rsidRDefault="00795C08" w:rsidP="00924A64">
      <w:r>
        <w:t>3</w:t>
      </w:r>
      <w:r w:rsidR="00006E1A">
        <w:t>. Costa issued $1,000,</w:t>
      </w:r>
      <w:r w:rsidR="00924A64">
        <w:t xml:space="preserve">000 worth of </w:t>
      </w:r>
      <w:r w:rsidR="008C2A9F">
        <w:t xml:space="preserve">5-year </w:t>
      </w:r>
      <w:r w:rsidR="00924A64">
        <w:t xml:space="preserve">bonds at a </w:t>
      </w:r>
      <w:r w:rsidR="008C2A9F">
        <w:t>4</w:t>
      </w:r>
      <w:r w:rsidR="00924A64">
        <w:t xml:space="preserve">% </w:t>
      </w:r>
      <w:r w:rsidR="00006E1A">
        <w:t>coupon</w:t>
      </w:r>
      <w:r w:rsidR="00924A64">
        <w:t xml:space="preserve"> rate</w:t>
      </w:r>
      <w:r w:rsidR="008C2A9F">
        <w:t xml:space="preserve"> paid semi-annually</w:t>
      </w:r>
      <w:r w:rsidR="00924A64">
        <w:t>. The</w:t>
      </w:r>
      <w:r w:rsidR="00006E1A">
        <w:t xml:space="preserve"> yield</w:t>
      </w:r>
      <w:r w:rsidR="00924A64">
        <w:t xml:space="preserve"> was estimated to be 6%. </w:t>
      </w:r>
      <w:r>
        <w:t>Find the discount/premium on bonds payable.</w:t>
      </w:r>
    </w:p>
    <w:p w14:paraId="35FAD2B5" w14:textId="5AE83CC6" w:rsidR="00795C08" w:rsidRDefault="00795C08" w:rsidP="00924A64">
      <w:r>
        <w:t>A. Discount, 914</w:t>
      </w:r>
      <w:r w:rsidR="00006E1A">
        <w:t>,</w:t>
      </w:r>
      <w:r>
        <w:t>698</w:t>
      </w:r>
      <w:r>
        <w:br/>
        <w:t>B. Discount, 85</w:t>
      </w:r>
      <w:r w:rsidR="00006E1A">
        <w:t>,</w:t>
      </w:r>
      <w:r>
        <w:t>302</w:t>
      </w:r>
      <w:r>
        <w:br/>
        <w:t>C. Premium, 30</w:t>
      </w:r>
      <w:r w:rsidR="00006E1A">
        <w:t>,</w:t>
      </w:r>
      <w:r>
        <w:t>486</w:t>
      </w:r>
      <w:r>
        <w:br/>
        <w:t>D. Premium, 1</w:t>
      </w:r>
      <w:r w:rsidR="00006E1A">
        <w:t>,</w:t>
      </w:r>
      <w:r>
        <w:t>030</w:t>
      </w:r>
      <w:r w:rsidR="00006E1A">
        <w:t>,</w:t>
      </w:r>
      <w:r>
        <w:t>486</w:t>
      </w:r>
    </w:p>
    <w:p w14:paraId="59EFCA6F" w14:textId="165CDF2A" w:rsidR="00650DCE" w:rsidRDefault="00650DCE" w:rsidP="00924A64">
      <w:r>
        <w:t xml:space="preserve">Ans: B, </w:t>
      </w:r>
      <m:oMath>
        <m:r>
          <w:rPr>
            <w:rFonts w:ascii="Cambria Math" w:hAnsi="Cambria Math"/>
          </w:rPr>
          <m:t>85302=1,000,000-[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1,000,000×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0.06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0.06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5×2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1,000,000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0.06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5×2</m:t>
                </m:r>
              </m:sup>
            </m:sSup>
          </m:den>
        </m:f>
        <m:r>
          <w:rPr>
            <w:rFonts w:ascii="Cambria Math" w:hAnsi="Cambria Math"/>
          </w:rPr>
          <m:t>]</m:t>
        </m:r>
      </m:oMath>
    </w:p>
    <w:p w14:paraId="31314961" w14:textId="7202F283" w:rsidR="00795C08" w:rsidRDefault="00650DCE" w:rsidP="00924A64">
      <w:r>
        <w:br/>
      </w:r>
      <w:r w:rsidR="00795C08">
        <w:t xml:space="preserve">4. Costa issued $300 000 worth of 3-year bonds at a 5% </w:t>
      </w:r>
      <w:r w:rsidR="00006E1A">
        <w:t>coupon</w:t>
      </w:r>
      <w:r w:rsidR="00795C08">
        <w:t xml:space="preserve"> rate paid annually. The </w:t>
      </w:r>
      <w:r w:rsidR="00006E1A">
        <w:t>yield</w:t>
      </w:r>
      <w:r w:rsidR="00795C08">
        <w:t xml:space="preserve"> </w:t>
      </w:r>
      <w:r>
        <w:t>was estimated to be 4%. Find the bond price.</w:t>
      </w:r>
    </w:p>
    <w:p w14:paraId="3AEC60E2" w14:textId="34A620BD" w:rsidR="00650DCE" w:rsidRDefault="00650DCE" w:rsidP="00924A64">
      <w:r>
        <w:t>A. 291</w:t>
      </w:r>
      <w:r w:rsidR="006F68D2">
        <w:t>,</w:t>
      </w:r>
      <w:r>
        <w:t>675</w:t>
      </w:r>
      <w:r>
        <w:br/>
        <w:t>B. 283</w:t>
      </w:r>
      <w:r w:rsidR="006F68D2">
        <w:t>,</w:t>
      </w:r>
      <w:r>
        <w:t>349</w:t>
      </w:r>
      <w:r>
        <w:br/>
        <w:t>C. 308</w:t>
      </w:r>
      <w:r w:rsidR="006F68D2">
        <w:t>,</w:t>
      </w:r>
      <w:r>
        <w:t>325</w:t>
      </w:r>
      <w:r>
        <w:br/>
        <w:t>D. 316</w:t>
      </w:r>
      <w:r w:rsidR="006F68D2">
        <w:t>,</w:t>
      </w:r>
      <w:r>
        <w:t>651</w:t>
      </w:r>
    </w:p>
    <w:p w14:paraId="089A9982" w14:textId="42938BEE" w:rsidR="00650DCE" w:rsidRDefault="00650DCE" w:rsidP="00650DCE">
      <w:r>
        <w:t xml:space="preserve">Ans: C, </w:t>
      </w:r>
      <m:oMath>
        <m:r>
          <w:rPr>
            <w:rFonts w:ascii="Cambria Math" w:hAnsi="Cambria Math"/>
          </w:rPr>
          <m:t>308,325=[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300,000×0.05</m:t>
            </m:r>
          </m:num>
          <m:den>
            <m:r>
              <w:rPr>
                <w:rFonts w:ascii="Cambria Math" w:hAnsi="Cambria Math"/>
              </w:rPr>
              <m:t>0.04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1+0.04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300,000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1+0.04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]</m:t>
        </m:r>
      </m:oMath>
    </w:p>
    <w:p w14:paraId="44DA182A" w14:textId="425F7554" w:rsidR="00650DCE" w:rsidRDefault="00650DCE" w:rsidP="00924A64">
      <w:r>
        <w:t xml:space="preserve">5. </w:t>
      </w:r>
      <w:r w:rsidR="00B55F7F">
        <w:t>Interest payment in every period is constant for bonds at par value but not for bonds issued at a discount or premium. True or False?</w:t>
      </w:r>
    </w:p>
    <w:p w14:paraId="6324FB78" w14:textId="25E22DEB" w:rsidR="00B55F7F" w:rsidRDefault="00B55F7F" w:rsidP="00924A64">
      <w:r>
        <w:t xml:space="preserve">Ans: False, interest payment every period is always a constant of the principal multiplied by the </w:t>
      </w:r>
      <w:r w:rsidR="00006E1A">
        <w:t>coupon</w:t>
      </w:r>
      <w:r>
        <w:t xml:space="preserve"> rate of the bond divided by the number of periods.</w:t>
      </w:r>
    </w:p>
    <w:p w14:paraId="2BEAA00E" w14:textId="080AC02F" w:rsidR="00B55F7F" w:rsidRDefault="00B55F7F" w:rsidP="00924A64">
      <w:r>
        <w:t>6. Interest expense in every period is constant for bonds at par value but not for bonds issued at a discount or premium. True or False?</w:t>
      </w:r>
    </w:p>
    <w:p w14:paraId="1F7B7244" w14:textId="5DAA75FF" w:rsidR="00B55F7F" w:rsidRDefault="00B55F7F" w:rsidP="00924A64">
      <w:r>
        <w:t>Ans: True, interest expense is the yield divided by the number of periods multiplied by the carry</w:t>
      </w:r>
      <w:r w:rsidR="00267E0C">
        <w:t>ing value</w:t>
      </w:r>
      <w:r w:rsidR="00006E1A">
        <w:t xml:space="preserve"> of the bond</w:t>
      </w:r>
      <w:r w:rsidR="00267E0C">
        <w:t xml:space="preserve">. For bonds issued at par, the carrying value is constant and equal to the principal. </w:t>
      </w:r>
    </w:p>
    <w:p w14:paraId="30B04DEE" w14:textId="5F540D50" w:rsidR="00267E0C" w:rsidRDefault="00267E0C" w:rsidP="00924A64">
      <w:r>
        <w:lastRenderedPageBreak/>
        <w:t>7. Costa issued bonds the previous year. Record the payment of interest in the current period given that the interest expense is $4</w:t>
      </w:r>
      <w:r w:rsidR="00006E1A">
        <w:t>,</w:t>
      </w:r>
      <w:r>
        <w:t xml:space="preserve">100 and the </w:t>
      </w:r>
      <w:r w:rsidR="00006E1A">
        <w:t xml:space="preserve">coupon </w:t>
      </w:r>
      <w:r>
        <w:t>payment made is $4</w:t>
      </w:r>
      <w:r w:rsidR="00006E1A">
        <w:t>,</w:t>
      </w:r>
      <w:r>
        <w:t>500.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</w:tblGrid>
      <w:tr w:rsidR="00267E0C" w14:paraId="54043525" w14:textId="77777777" w:rsidTr="00267E0C">
        <w:tc>
          <w:tcPr>
            <w:tcW w:w="2547" w:type="dxa"/>
          </w:tcPr>
          <w:p w14:paraId="2AD228C3" w14:textId="161B18D5" w:rsidR="00267E0C" w:rsidRDefault="00267E0C" w:rsidP="00924A64">
            <w:r>
              <w:t>Interest Expense</w:t>
            </w:r>
          </w:p>
        </w:tc>
        <w:tc>
          <w:tcPr>
            <w:tcW w:w="1276" w:type="dxa"/>
          </w:tcPr>
          <w:p w14:paraId="5B728925" w14:textId="50877A7D" w:rsidR="00267E0C" w:rsidRDefault="00267E0C" w:rsidP="00924A64">
            <w:r>
              <w:t>4</w:t>
            </w:r>
            <w:r w:rsidR="00006E1A">
              <w:t>,</w:t>
            </w:r>
            <w:r>
              <w:t>100</w:t>
            </w:r>
          </w:p>
        </w:tc>
      </w:tr>
      <w:tr w:rsidR="00267E0C" w14:paraId="52DBBC68" w14:textId="77777777" w:rsidTr="00267E0C">
        <w:tc>
          <w:tcPr>
            <w:tcW w:w="2547" w:type="dxa"/>
          </w:tcPr>
          <w:p w14:paraId="4077AB13" w14:textId="6679BDE1" w:rsidR="00267E0C" w:rsidRDefault="00267E0C" w:rsidP="00267E0C">
            <w:r>
              <w:t>? on bonds payable</w:t>
            </w:r>
          </w:p>
        </w:tc>
        <w:tc>
          <w:tcPr>
            <w:tcW w:w="1276" w:type="dxa"/>
          </w:tcPr>
          <w:p w14:paraId="49EAE18D" w14:textId="262DDC77" w:rsidR="00267E0C" w:rsidRDefault="00267E0C" w:rsidP="00924A64">
            <w:r>
              <w:t>400</w:t>
            </w:r>
          </w:p>
        </w:tc>
      </w:tr>
      <w:tr w:rsidR="00267E0C" w14:paraId="50BE7FAC" w14:textId="77777777" w:rsidTr="00267E0C">
        <w:tc>
          <w:tcPr>
            <w:tcW w:w="2547" w:type="dxa"/>
          </w:tcPr>
          <w:p w14:paraId="52D7C7FC" w14:textId="2E4F1334" w:rsidR="00267E0C" w:rsidRDefault="00267E0C" w:rsidP="00267E0C">
            <w:pPr>
              <w:jc w:val="right"/>
            </w:pPr>
            <w:r>
              <w:t>Cash</w:t>
            </w:r>
          </w:p>
        </w:tc>
        <w:tc>
          <w:tcPr>
            <w:tcW w:w="1276" w:type="dxa"/>
          </w:tcPr>
          <w:p w14:paraId="3B1FDF18" w14:textId="7872FC9A" w:rsidR="00267E0C" w:rsidRDefault="00267E0C" w:rsidP="00267E0C">
            <w:pPr>
              <w:jc w:val="right"/>
            </w:pPr>
            <w:r>
              <w:t>4</w:t>
            </w:r>
            <w:r w:rsidR="00006E1A">
              <w:t>,</w:t>
            </w:r>
            <w:r>
              <w:t>500</w:t>
            </w:r>
          </w:p>
        </w:tc>
      </w:tr>
    </w:tbl>
    <w:p w14:paraId="225EFA39" w14:textId="59562985" w:rsidR="00267E0C" w:rsidRDefault="00267E0C" w:rsidP="00924A64"/>
    <w:p w14:paraId="3420BB80" w14:textId="03B5BEAD" w:rsidR="00795C08" w:rsidRDefault="00267E0C" w:rsidP="00267E0C">
      <w:pPr>
        <w:pStyle w:val="ListParagraph"/>
        <w:numPr>
          <w:ilvl w:val="0"/>
          <w:numId w:val="3"/>
        </w:numPr>
      </w:pPr>
      <w:r>
        <w:t>Premium</w:t>
      </w:r>
    </w:p>
    <w:p w14:paraId="6E609C0E" w14:textId="5D977CE2" w:rsidR="00267E0C" w:rsidRDefault="00267E0C" w:rsidP="00267E0C">
      <w:pPr>
        <w:pStyle w:val="ListParagraph"/>
        <w:numPr>
          <w:ilvl w:val="0"/>
          <w:numId w:val="3"/>
        </w:numPr>
      </w:pPr>
      <w:r>
        <w:t>Discount</w:t>
      </w:r>
    </w:p>
    <w:p w14:paraId="179EE00B" w14:textId="2FA3D437" w:rsidR="00267E0C" w:rsidRDefault="00267E0C" w:rsidP="00267E0C">
      <w:pPr>
        <w:pStyle w:val="ListParagraph"/>
        <w:numPr>
          <w:ilvl w:val="0"/>
          <w:numId w:val="3"/>
        </w:numPr>
      </w:pPr>
      <w:r>
        <w:t>Amortization</w:t>
      </w:r>
    </w:p>
    <w:p w14:paraId="3B111959" w14:textId="52D7C166" w:rsidR="00267E0C" w:rsidRDefault="00006E1A" w:rsidP="00267E0C">
      <w:pPr>
        <w:pStyle w:val="ListParagraph"/>
        <w:numPr>
          <w:ilvl w:val="0"/>
          <w:numId w:val="3"/>
        </w:numPr>
      </w:pPr>
      <w:r>
        <w:t>Depreciation</w:t>
      </w:r>
    </w:p>
    <w:p w14:paraId="6CCAF8C3" w14:textId="5C9B0DDF" w:rsidR="00267E0C" w:rsidRDefault="00267E0C" w:rsidP="00267E0C">
      <w:r>
        <w:t xml:space="preserve">Ans: </w:t>
      </w:r>
      <w:r w:rsidR="00965AF0">
        <w:t>A</w:t>
      </w:r>
      <w:r w:rsidR="00455011">
        <w:t xml:space="preserve">. When the interest expense is lower than the interest payment, it is a bond premium. Note that the 400 refers to the amount of premium amortized during the period. </w:t>
      </w:r>
    </w:p>
    <w:p w14:paraId="59ABD46F" w14:textId="4C2117C2" w:rsidR="00455011" w:rsidRPr="00006E1A" w:rsidRDefault="00455011" w:rsidP="00267E0C">
      <w:pPr>
        <w:rPr>
          <w:color w:val="FF0000"/>
        </w:rPr>
      </w:pPr>
      <w:r w:rsidRPr="00006E1A">
        <w:rPr>
          <w:color w:val="FF0000"/>
        </w:rPr>
        <w:t>8.</w:t>
      </w:r>
      <w:r w:rsidR="00965AF0" w:rsidRPr="00006E1A">
        <w:rPr>
          <w:color w:val="FF0000"/>
        </w:rPr>
        <w:t xml:space="preserve"> Costa plans to issue $1</w:t>
      </w:r>
      <w:r w:rsidR="00006E1A" w:rsidRPr="00006E1A">
        <w:rPr>
          <w:color w:val="FF0000"/>
        </w:rPr>
        <w:t>,</w:t>
      </w:r>
      <w:r w:rsidR="00965AF0" w:rsidRPr="00006E1A">
        <w:rPr>
          <w:color w:val="FF0000"/>
        </w:rPr>
        <w:t>00</w:t>
      </w:r>
      <w:r w:rsidR="00006E1A" w:rsidRPr="00006E1A">
        <w:rPr>
          <w:color w:val="FF0000"/>
        </w:rPr>
        <w:t>0,</w:t>
      </w:r>
      <w:r w:rsidR="00965AF0" w:rsidRPr="00006E1A">
        <w:rPr>
          <w:color w:val="FF0000"/>
        </w:rPr>
        <w:t xml:space="preserve">000 worth of 10-year bonds. The </w:t>
      </w:r>
      <w:r w:rsidR="00006E1A" w:rsidRPr="00006E1A">
        <w:rPr>
          <w:color w:val="FF0000"/>
        </w:rPr>
        <w:t>yield</w:t>
      </w:r>
      <w:r w:rsidR="00965AF0" w:rsidRPr="00006E1A">
        <w:rPr>
          <w:color w:val="FF0000"/>
        </w:rPr>
        <w:t xml:space="preserve"> is 5%. By choosing to issue the bonds at a coupon of 3% paid semi-annually instead of at par value, Costa incurs</w:t>
      </w:r>
      <w:r w:rsidR="00006E1A" w:rsidRPr="00006E1A">
        <w:rPr>
          <w:color w:val="FF0000"/>
        </w:rPr>
        <w:t xml:space="preserve"> how much </w:t>
      </w:r>
      <w:r w:rsidR="00965AF0" w:rsidRPr="00006E1A">
        <w:rPr>
          <w:color w:val="FF0000"/>
        </w:rPr>
        <w:t xml:space="preserve">additional interest expense </w:t>
      </w:r>
      <w:r w:rsidR="00006E1A" w:rsidRPr="00006E1A">
        <w:rPr>
          <w:color w:val="FF0000"/>
        </w:rPr>
        <w:t>over the life of the bond</w:t>
      </w:r>
      <w:r w:rsidR="00965AF0" w:rsidRPr="00006E1A">
        <w:rPr>
          <w:color w:val="FF0000"/>
        </w:rPr>
        <w:t>?</w:t>
      </w:r>
    </w:p>
    <w:p w14:paraId="48E96848" w14:textId="38BCE35B" w:rsidR="00C31D03" w:rsidRPr="00006E1A" w:rsidRDefault="00965AF0" w:rsidP="00267E0C">
      <w:pPr>
        <w:rPr>
          <w:color w:val="FF0000"/>
        </w:rPr>
      </w:pPr>
      <w:r w:rsidRPr="00006E1A">
        <w:rPr>
          <w:color w:val="FF0000"/>
        </w:rPr>
        <w:t xml:space="preserve">A. </w:t>
      </w:r>
      <w:r w:rsidR="00C31D03" w:rsidRPr="00006E1A">
        <w:rPr>
          <w:color w:val="FF0000"/>
        </w:rPr>
        <w:t>$154435</w:t>
      </w:r>
      <w:r w:rsidR="00C31D03" w:rsidRPr="00006E1A">
        <w:rPr>
          <w:color w:val="FF0000"/>
        </w:rPr>
        <w:br/>
        <w:t>B. $155892</w:t>
      </w:r>
      <w:r w:rsidR="00C31D03" w:rsidRPr="00006E1A">
        <w:rPr>
          <w:color w:val="FF0000"/>
        </w:rPr>
        <w:br/>
        <w:t>C. Trick question, Costa incurs less interest expense for issuing bonds at a discount</w:t>
      </w:r>
      <w:r w:rsidR="00C31D03" w:rsidRPr="00006E1A">
        <w:rPr>
          <w:color w:val="FF0000"/>
        </w:rPr>
        <w:br/>
        <w:t>D. Trick question, regardless of whether the bond is issued at a premium or discount, the total interest expense paid out is the same.</w:t>
      </w:r>
    </w:p>
    <w:p w14:paraId="587FB34E" w14:textId="672B6F27" w:rsidR="00C31D03" w:rsidRPr="00006E1A" w:rsidRDefault="00C31D03" w:rsidP="00267E0C">
      <w:pPr>
        <w:rPr>
          <w:color w:val="FF0000"/>
        </w:rPr>
      </w:pPr>
      <w:r w:rsidRPr="00006E1A">
        <w:rPr>
          <w:color w:val="FF0000"/>
        </w:rPr>
        <w:t xml:space="preserve">Ans: B. Note that this value is the same as the discount on bonds payable at issue.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155892=[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1000000×0.03</m:t>
              </m:r>
            </m:num>
            <m:den>
              <m:r>
                <w:rPr>
                  <w:rFonts w:ascii="Cambria Math" w:hAnsi="Cambria Math"/>
                  <w:color w:val="FF0000"/>
                </w:rPr>
                <m:t>0.05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1+0.05/2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10×2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1000000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1+0.05/2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10×2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</w:rPr>
            <m:t>]</m:t>
          </m:r>
        </m:oMath>
      </m:oMathPara>
    </w:p>
    <w:p w14:paraId="37CA3A77" w14:textId="3E4355FB" w:rsidR="00DE4EB6" w:rsidRDefault="00C31D03" w:rsidP="00267E0C">
      <w:r>
        <w:t xml:space="preserve">9. Costa issues </w:t>
      </w:r>
      <w:r w:rsidR="00006E1A">
        <w:t xml:space="preserve">a 10-year bond with a </w:t>
      </w:r>
      <w:r w:rsidR="00DE4EB6">
        <w:t xml:space="preserve">10% coupon </w:t>
      </w:r>
      <w:r w:rsidR="00006E1A">
        <w:t xml:space="preserve">rate paying </w:t>
      </w:r>
      <w:r w:rsidR="00DE4EB6">
        <w:t>in</w:t>
      </w:r>
      <w:r w:rsidR="00006E1A">
        <w:t>terest semi-annually worth $200,</w:t>
      </w:r>
      <w:r w:rsidR="00DE4EB6">
        <w:t>000, on 1 May 2018. If the bonds were issued at par, complete the relevant journal entry for</w:t>
      </w:r>
      <w:r w:rsidR="00006E1A">
        <w:t xml:space="preserve"> the first coupon payment</w:t>
      </w:r>
      <w:r w:rsidR="00DE4EB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DE4EB6" w14:paraId="13F8490E" w14:textId="77777777" w:rsidTr="00DE4EB6">
        <w:tc>
          <w:tcPr>
            <w:tcW w:w="1980" w:type="dxa"/>
          </w:tcPr>
          <w:p w14:paraId="37FD57D7" w14:textId="61BA98B7" w:rsidR="00DE4EB6" w:rsidRDefault="00DE4EB6" w:rsidP="00267E0C">
            <w:r>
              <w:t>Interest expense</w:t>
            </w:r>
          </w:p>
        </w:tc>
        <w:tc>
          <w:tcPr>
            <w:tcW w:w="1701" w:type="dxa"/>
          </w:tcPr>
          <w:p w14:paraId="0D1FB1E5" w14:textId="2010CBAD" w:rsidR="00DE4EB6" w:rsidRDefault="00DE4EB6" w:rsidP="00267E0C">
            <w:r>
              <w:t>???</w:t>
            </w:r>
          </w:p>
        </w:tc>
      </w:tr>
      <w:tr w:rsidR="00DE4EB6" w14:paraId="127D64A0" w14:textId="77777777" w:rsidTr="00DE4EB6">
        <w:tc>
          <w:tcPr>
            <w:tcW w:w="1980" w:type="dxa"/>
          </w:tcPr>
          <w:p w14:paraId="37174DAB" w14:textId="47D36E3E" w:rsidR="00DE4EB6" w:rsidRDefault="00DE4EB6" w:rsidP="00DE4EB6">
            <w:pPr>
              <w:jc w:val="right"/>
            </w:pPr>
            <w:r>
              <w:t>Cash</w:t>
            </w:r>
          </w:p>
        </w:tc>
        <w:tc>
          <w:tcPr>
            <w:tcW w:w="1701" w:type="dxa"/>
          </w:tcPr>
          <w:p w14:paraId="140B59B6" w14:textId="3ABC8DB6" w:rsidR="00DE4EB6" w:rsidRDefault="00DE4EB6" w:rsidP="00DE4EB6">
            <w:pPr>
              <w:jc w:val="right"/>
            </w:pPr>
            <w:r>
              <w:t>???</w:t>
            </w:r>
          </w:p>
        </w:tc>
      </w:tr>
    </w:tbl>
    <w:p w14:paraId="08541EA3" w14:textId="48BF9BA6" w:rsidR="00C31D03" w:rsidRDefault="00C31D03" w:rsidP="00267E0C"/>
    <w:p w14:paraId="68D55DD7" w14:textId="3B13D1B8" w:rsidR="006474CC" w:rsidRDefault="00006E1A" w:rsidP="00267E0C">
      <w:r>
        <w:t>A. 20,000</w:t>
      </w:r>
      <w:r>
        <w:br/>
        <w:t>B. 10,000</w:t>
      </w:r>
      <w:r>
        <w:br/>
        <w:t>C. 5,</w:t>
      </w:r>
      <w:r w:rsidR="006474CC">
        <w:t>000</w:t>
      </w:r>
      <w:r w:rsidR="006474CC">
        <w:br/>
        <w:t xml:space="preserve">D. </w:t>
      </w:r>
      <w:r>
        <w:t>1,000</w:t>
      </w:r>
    </w:p>
    <w:p w14:paraId="08821BEA" w14:textId="1B46AAB9" w:rsidR="006474CC" w:rsidRPr="00C31D03" w:rsidRDefault="006474CC" w:rsidP="00267E0C">
      <w:r>
        <w:t xml:space="preserve">Ans: B. </w:t>
      </w:r>
      <m:oMath>
        <m:r>
          <w:rPr>
            <w:rFonts w:ascii="Cambria Math" w:hAnsi="Cambria Math"/>
          </w:rPr>
          <m:t>10,000=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×200,000</m:t>
        </m:r>
      </m:oMath>
    </w:p>
    <w:p w14:paraId="71E8DEB9" w14:textId="77777777" w:rsidR="006474CC" w:rsidRDefault="006474CC">
      <w:r>
        <w:br w:type="page"/>
      </w:r>
    </w:p>
    <w:p w14:paraId="5265B6C1" w14:textId="2A3B9A47" w:rsidR="00795C08" w:rsidRDefault="00DE4EB6" w:rsidP="00924A64">
      <w:r>
        <w:lastRenderedPageBreak/>
        <w:t>10</w:t>
      </w:r>
      <w:r w:rsidR="00006E1A">
        <w:t>. Costa issues a 10-year bond with a</w:t>
      </w:r>
      <w:r>
        <w:t xml:space="preserve"> 10% coupon that pays in</w:t>
      </w:r>
      <w:r w:rsidR="00006E1A">
        <w:t>terest semi-annually worth $200,</w:t>
      </w:r>
      <w:r>
        <w:t>000, on 1 May 2018. If the bonds were issued at par, complete the relevant adjusting entry for 31 December 2018</w:t>
      </w:r>
      <w:r w:rsidR="00AA514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6474CC" w14:paraId="0B6BC27C" w14:textId="77777777" w:rsidTr="006474CC">
        <w:tc>
          <w:tcPr>
            <w:tcW w:w="1980" w:type="dxa"/>
          </w:tcPr>
          <w:p w14:paraId="03CBFE06" w14:textId="77777777" w:rsidR="006474CC" w:rsidRDefault="006474CC" w:rsidP="006474CC">
            <w:r>
              <w:t>Interest expense</w:t>
            </w:r>
          </w:p>
        </w:tc>
        <w:tc>
          <w:tcPr>
            <w:tcW w:w="1701" w:type="dxa"/>
          </w:tcPr>
          <w:p w14:paraId="43DCDF35" w14:textId="77777777" w:rsidR="006474CC" w:rsidRDefault="006474CC" w:rsidP="006474CC">
            <w:r>
              <w:t>???</w:t>
            </w:r>
          </w:p>
        </w:tc>
      </w:tr>
      <w:tr w:rsidR="006474CC" w14:paraId="46DE72A4" w14:textId="77777777" w:rsidTr="006474CC">
        <w:tc>
          <w:tcPr>
            <w:tcW w:w="1980" w:type="dxa"/>
          </w:tcPr>
          <w:p w14:paraId="4010B470" w14:textId="77777777" w:rsidR="006474CC" w:rsidRDefault="006474CC" w:rsidP="006474CC">
            <w:pPr>
              <w:jc w:val="right"/>
            </w:pPr>
            <w:r>
              <w:t>Cash</w:t>
            </w:r>
          </w:p>
        </w:tc>
        <w:tc>
          <w:tcPr>
            <w:tcW w:w="1701" w:type="dxa"/>
          </w:tcPr>
          <w:p w14:paraId="5BE6F8AA" w14:textId="77777777" w:rsidR="006474CC" w:rsidRDefault="006474CC" w:rsidP="006474CC">
            <w:pPr>
              <w:jc w:val="right"/>
            </w:pPr>
            <w:r>
              <w:t>???</w:t>
            </w:r>
          </w:p>
        </w:tc>
      </w:tr>
    </w:tbl>
    <w:p w14:paraId="4FE1C023" w14:textId="3E804BFB" w:rsidR="006474CC" w:rsidRDefault="006474CC" w:rsidP="00924A64">
      <w:r>
        <w:br/>
        <w:t>A. 6</w:t>
      </w:r>
      <w:r w:rsidR="004E227B">
        <w:t>,</w:t>
      </w:r>
      <w:r>
        <w:t>667</w:t>
      </w:r>
      <w:r>
        <w:br/>
        <w:t>B. 3</w:t>
      </w:r>
      <w:r w:rsidR="004E227B">
        <w:t>,</w:t>
      </w:r>
      <w:r>
        <w:t>333</w:t>
      </w:r>
      <w:r>
        <w:br/>
        <w:t>C. 1</w:t>
      </w:r>
      <w:r w:rsidR="004E227B">
        <w:t>,</w:t>
      </w:r>
      <w:r>
        <w:t>667</w:t>
      </w:r>
      <w:r>
        <w:br/>
        <w:t xml:space="preserve">D. </w:t>
      </w:r>
      <w:r w:rsidR="00006E1A">
        <w:t>10,000</w:t>
      </w:r>
    </w:p>
    <w:p w14:paraId="324C340A" w14:textId="3AE0A390" w:rsidR="006474CC" w:rsidRDefault="006474CC" w:rsidP="00924A64">
      <w:r>
        <w:t>Ans: B.</w:t>
      </w:r>
      <w:r w:rsidR="00F139A6">
        <w:t xml:space="preserve"> 2 months of accrued interest, </w:t>
      </w:r>
      <m:oMath>
        <m:r>
          <w:rPr>
            <w:rFonts w:ascii="Cambria Math" w:hAnsi="Cambria Math"/>
          </w:rPr>
          <m:t>3333=0.1×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×200000</m:t>
        </m:r>
      </m:oMath>
      <w:r w:rsidR="00F139A6">
        <w:t xml:space="preserve"> </w:t>
      </w:r>
    </w:p>
    <w:p w14:paraId="1E96D662" w14:textId="37BDE785" w:rsidR="00AA514D" w:rsidRDefault="00AA514D" w:rsidP="00AA514D">
      <w:r>
        <w:t xml:space="preserve">11. Costa issues a 10-year bond at </w:t>
      </w:r>
      <w:r w:rsidR="00006E1A">
        <w:t xml:space="preserve">a </w:t>
      </w:r>
      <w:r>
        <w:t>1</w:t>
      </w:r>
      <w:r w:rsidR="00F139A6">
        <w:t>2</w:t>
      </w:r>
      <w:r>
        <w:t xml:space="preserve">% coupon </w:t>
      </w:r>
      <w:r w:rsidR="00006E1A">
        <w:t>rate, paying interest semi-annually, worth $200</w:t>
      </w:r>
      <w:r w:rsidR="002B52E4">
        <w:t>,</w:t>
      </w:r>
      <w:r w:rsidR="00006E1A">
        <w:t xml:space="preserve">000 </w:t>
      </w:r>
      <w:r>
        <w:t xml:space="preserve">on 1 May 2018. If the yield is </w:t>
      </w:r>
      <w:r w:rsidR="00F139A6">
        <w:t>10</w:t>
      </w:r>
      <w:r>
        <w:t xml:space="preserve">%, complete the </w:t>
      </w:r>
      <w:r w:rsidR="002B52E4">
        <w:t>journal entry for the first coupon payment</w:t>
      </w:r>
      <w:r w:rsidR="00F139A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</w:tblGrid>
      <w:tr w:rsidR="00F139A6" w14:paraId="1FBF8F75" w14:textId="77777777" w:rsidTr="001B1E67">
        <w:tc>
          <w:tcPr>
            <w:tcW w:w="2830" w:type="dxa"/>
          </w:tcPr>
          <w:p w14:paraId="71DF1B86" w14:textId="77777777" w:rsidR="00F139A6" w:rsidRDefault="00F139A6" w:rsidP="00327E2F">
            <w:r>
              <w:t>Interest expense</w:t>
            </w:r>
          </w:p>
        </w:tc>
        <w:tc>
          <w:tcPr>
            <w:tcW w:w="1418" w:type="dxa"/>
          </w:tcPr>
          <w:p w14:paraId="172FCC5B" w14:textId="77777777" w:rsidR="00F139A6" w:rsidRDefault="00F139A6" w:rsidP="00327E2F">
            <w:r>
              <w:t>???</w:t>
            </w:r>
          </w:p>
        </w:tc>
      </w:tr>
      <w:tr w:rsidR="001B1E67" w14:paraId="254704D1" w14:textId="77777777" w:rsidTr="001B1E67">
        <w:tc>
          <w:tcPr>
            <w:tcW w:w="2830" w:type="dxa"/>
          </w:tcPr>
          <w:p w14:paraId="3B27D344" w14:textId="6D810F87" w:rsidR="001B1E67" w:rsidRDefault="001B1E67" w:rsidP="00327E2F">
            <w:r>
              <w:t>Premium on bond payable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E0B9DD" w14:textId="77777777" w:rsidR="001B1E67" w:rsidRDefault="001B1E67" w:rsidP="00327E2F"/>
        </w:tc>
      </w:tr>
      <w:tr w:rsidR="00F139A6" w14:paraId="52616E8B" w14:textId="77777777" w:rsidTr="001B1E67">
        <w:tc>
          <w:tcPr>
            <w:tcW w:w="2830" w:type="dxa"/>
          </w:tcPr>
          <w:p w14:paraId="12EF5186" w14:textId="77777777" w:rsidR="00F139A6" w:rsidRDefault="00F139A6" w:rsidP="00327E2F">
            <w:pPr>
              <w:jc w:val="right"/>
            </w:pPr>
            <w:r>
              <w:t>Cash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217493E" w14:textId="30907BE1" w:rsidR="00F139A6" w:rsidRDefault="00F139A6" w:rsidP="00327E2F">
            <w:pPr>
              <w:jc w:val="right"/>
            </w:pPr>
          </w:p>
        </w:tc>
      </w:tr>
    </w:tbl>
    <w:p w14:paraId="02B42637" w14:textId="14625ED5" w:rsidR="00F139A6" w:rsidRDefault="00F139A6" w:rsidP="00AA514D">
      <w:r>
        <w:br/>
        <w:t>A. 224</w:t>
      </w:r>
      <w:r w:rsidR="002B52E4">
        <w:t>,</w:t>
      </w:r>
      <w:r>
        <w:t>924</w:t>
      </w:r>
      <w:r>
        <w:br/>
        <w:t xml:space="preserve">B. </w:t>
      </w:r>
      <w:r w:rsidR="002B52E4">
        <w:t>224,578</w:t>
      </w:r>
      <w:r w:rsidR="002B52E4">
        <w:br/>
        <w:t>C. 22,492</w:t>
      </w:r>
      <w:r w:rsidR="002B52E4">
        <w:br/>
        <w:t>D. 11,246</w:t>
      </w:r>
    </w:p>
    <w:p w14:paraId="35D67F90" w14:textId="18B4D61D" w:rsidR="00F139A6" w:rsidRPr="00F139A6" w:rsidRDefault="00F139A6" w:rsidP="00AA514D">
      <w:r>
        <w:t xml:space="preserve">Ans: </w:t>
      </w:r>
      <w:r w:rsidR="001B1E67">
        <w:t>D</w:t>
      </w:r>
      <w:r>
        <w:t xml:space="preserve">. Bond price: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224,924=</m:t>
          </m:r>
          <w:bookmarkStart w:id="0" w:name="_GoBack"/>
          <w:bookmarkEnd w:id="0"/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200,000×0.12/2</m:t>
              </m:r>
            </m:num>
            <m:den>
              <m:r>
                <w:rPr>
                  <w:rFonts w:ascii="Cambria Math" w:hAnsi="Cambria Math"/>
                </w:rPr>
                <m:t>0.1/2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1+0.1/2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10×2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200,000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1+0.1/2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10×2</m:t>
                  </m:r>
                </m:sup>
              </m:sSup>
            </m:den>
          </m:f>
        </m:oMath>
      </m:oMathPara>
    </w:p>
    <w:p w14:paraId="6820777F" w14:textId="4FC38F58" w:rsidR="00F139A6" w:rsidRDefault="00F139A6" w:rsidP="00AA514D">
      <w:r>
        <w:t>Interest expense: 0.1</w:t>
      </w:r>
      <w:r w:rsidR="002B52E4">
        <w:t>0</w:t>
      </w:r>
      <w:r>
        <w:t>/2 X 224</w:t>
      </w:r>
      <w:r w:rsidR="002B52E4">
        <w:t>,924 = 11,246</w:t>
      </w:r>
    </w:p>
    <w:p w14:paraId="2B931FC0" w14:textId="1626830C" w:rsidR="00AA514D" w:rsidRPr="002B52E4" w:rsidRDefault="00AA514D" w:rsidP="00AA514D">
      <w:pPr>
        <w:rPr>
          <w:color w:val="FF0000"/>
        </w:rPr>
      </w:pPr>
      <w:r w:rsidRPr="002B52E4">
        <w:rPr>
          <w:color w:val="FF0000"/>
        </w:rPr>
        <w:t>12. Costa issues a 10-year bond at</w:t>
      </w:r>
      <w:r w:rsidR="002B52E4" w:rsidRPr="002B52E4">
        <w:rPr>
          <w:color w:val="FF0000"/>
        </w:rPr>
        <w:t xml:space="preserve"> a</w:t>
      </w:r>
      <w:r w:rsidRPr="002B52E4">
        <w:rPr>
          <w:color w:val="FF0000"/>
        </w:rPr>
        <w:t xml:space="preserve"> 1</w:t>
      </w:r>
      <w:r w:rsidR="00F139A6" w:rsidRPr="002B52E4">
        <w:rPr>
          <w:color w:val="FF0000"/>
        </w:rPr>
        <w:t>2</w:t>
      </w:r>
      <w:r w:rsidRPr="002B52E4">
        <w:rPr>
          <w:color w:val="FF0000"/>
        </w:rPr>
        <w:t xml:space="preserve">% coupon </w:t>
      </w:r>
      <w:r w:rsidR="002B52E4" w:rsidRPr="002B52E4">
        <w:rPr>
          <w:color w:val="FF0000"/>
        </w:rPr>
        <w:t xml:space="preserve">rate paying </w:t>
      </w:r>
      <w:r w:rsidRPr="002B52E4">
        <w:rPr>
          <w:color w:val="FF0000"/>
        </w:rPr>
        <w:t>interest semi-annually</w:t>
      </w:r>
      <w:r w:rsidR="002B52E4" w:rsidRPr="002B52E4">
        <w:rPr>
          <w:color w:val="FF0000"/>
        </w:rPr>
        <w:t>, worth $200,</w:t>
      </w:r>
      <w:r w:rsidRPr="002B52E4">
        <w:rPr>
          <w:color w:val="FF0000"/>
        </w:rPr>
        <w:t xml:space="preserve">000 on 1 May 2018. If the market yield is </w:t>
      </w:r>
      <w:r w:rsidR="00F139A6" w:rsidRPr="002B52E4">
        <w:rPr>
          <w:color w:val="FF0000"/>
        </w:rPr>
        <w:t>10</w:t>
      </w:r>
      <w:r w:rsidRPr="002B52E4">
        <w:rPr>
          <w:color w:val="FF0000"/>
        </w:rPr>
        <w:t xml:space="preserve">%, complete the journal entry for 30 April 2019.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</w:tblGrid>
      <w:tr w:rsidR="002B52E4" w:rsidRPr="002B52E4" w14:paraId="344C9A03" w14:textId="77777777" w:rsidTr="00327E2F">
        <w:tc>
          <w:tcPr>
            <w:tcW w:w="2830" w:type="dxa"/>
          </w:tcPr>
          <w:p w14:paraId="08CBC293" w14:textId="77777777" w:rsidR="001B1E67" w:rsidRPr="002B52E4" w:rsidRDefault="001B1E67" w:rsidP="00327E2F">
            <w:pPr>
              <w:rPr>
                <w:color w:val="FF0000"/>
              </w:rPr>
            </w:pPr>
            <w:r w:rsidRPr="002B52E4">
              <w:rPr>
                <w:color w:val="FF0000"/>
              </w:rPr>
              <w:t>Interest expense</w:t>
            </w:r>
          </w:p>
        </w:tc>
        <w:tc>
          <w:tcPr>
            <w:tcW w:w="1418" w:type="dxa"/>
          </w:tcPr>
          <w:p w14:paraId="0BF4401F" w14:textId="77777777" w:rsidR="001B1E67" w:rsidRPr="002B52E4" w:rsidRDefault="001B1E67" w:rsidP="00327E2F">
            <w:pPr>
              <w:rPr>
                <w:color w:val="FF0000"/>
              </w:rPr>
            </w:pPr>
            <w:r w:rsidRPr="002B52E4">
              <w:rPr>
                <w:color w:val="FF0000"/>
              </w:rPr>
              <w:t>???</w:t>
            </w:r>
          </w:p>
        </w:tc>
      </w:tr>
      <w:tr w:rsidR="002B52E4" w:rsidRPr="002B52E4" w14:paraId="2AD832E4" w14:textId="77777777" w:rsidTr="00327E2F">
        <w:tc>
          <w:tcPr>
            <w:tcW w:w="2830" w:type="dxa"/>
          </w:tcPr>
          <w:p w14:paraId="79BD3A21" w14:textId="77777777" w:rsidR="001B1E67" w:rsidRPr="002B52E4" w:rsidRDefault="001B1E67" w:rsidP="00327E2F">
            <w:pPr>
              <w:rPr>
                <w:color w:val="FF0000"/>
              </w:rPr>
            </w:pPr>
            <w:r w:rsidRPr="002B52E4">
              <w:rPr>
                <w:color w:val="FF0000"/>
              </w:rPr>
              <w:t>Premium on bond payable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B6C0A68" w14:textId="77777777" w:rsidR="001B1E67" w:rsidRPr="002B52E4" w:rsidRDefault="001B1E67" w:rsidP="00327E2F">
            <w:pPr>
              <w:rPr>
                <w:color w:val="FF0000"/>
              </w:rPr>
            </w:pPr>
          </w:p>
        </w:tc>
      </w:tr>
      <w:tr w:rsidR="002B52E4" w:rsidRPr="002B52E4" w14:paraId="1AD84FA1" w14:textId="77777777" w:rsidTr="00327E2F">
        <w:tc>
          <w:tcPr>
            <w:tcW w:w="2830" w:type="dxa"/>
          </w:tcPr>
          <w:p w14:paraId="43251917" w14:textId="77777777" w:rsidR="001B1E67" w:rsidRPr="002B52E4" w:rsidRDefault="001B1E67" w:rsidP="00327E2F">
            <w:pPr>
              <w:jc w:val="right"/>
              <w:rPr>
                <w:color w:val="FF0000"/>
              </w:rPr>
            </w:pPr>
            <w:r w:rsidRPr="002B52E4">
              <w:rPr>
                <w:color w:val="FF0000"/>
              </w:rPr>
              <w:t>Cash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404D0B" w14:textId="77777777" w:rsidR="001B1E67" w:rsidRPr="002B52E4" w:rsidRDefault="001B1E67" w:rsidP="00327E2F">
            <w:pPr>
              <w:jc w:val="right"/>
              <w:rPr>
                <w:color w:val="FF0000"/>
              </w:rPr>
            </w:pPr>
          </w:p>
        </w:tc>
      </w:tr>
    </w:tbl>
    <w:p w14:paraId="5EC50F0B" w14:textId="04A38427" w:rsidR="000C3730" w:rsidRPr="002B52E4" w:rsidRDefault="000C3730" w:rsidP="00AA514D">
      <w:pPr>
        <w:rPr>
          <w:color w:val="FF0000"/>
        </w:rPr>
      </w:pPr>
      <w:r w:rsidRPr="002B52E4">
        <w:rPr>
          <w:color w:val="FF0000"/>
        </w:rPr>
        <w:br/>
        <w:t>A.</w:t>
      </w:r>
      <w:r w:rsidR="001B1E67" w:rsidRPr="002B52E4">
        <w:rPr>
          <w:color w:val="FF0000"/>
        </w:rPr>
        <w:t xml:space="preserve"> 13495</w:t>
      </w:r>
      <w:r w:rsidRPr="002B52E4">
        <w:rPr>
          <w:color w:val="FF0000"/>
        </w:rPr>
        <w:br/>
        <w:t>B.</w:t>
      </w:r>
      <w:r w:rsidR="001B1E67" w:rsidRPr="002B52E4">
        <w:rPr>
          <w:color w:val="FF0000"/>
        </w:rPr>
        <w:t xml:space="preserve"> 26949</w:t>
      </w:r>
      <w:r w:rsidRPr="002B52E4">
        <w:rPr>
          <w:color w:val="FF0000"/>
        </w:rPr>
        <w:br/>
        <w:t>C.</w:t>
      </w:r>
      <w:r w:rsidR="001B1E67" w:rsidRPr="002B52E4">
        <w:rPr>
          <w:color w:val="FF0000"/>
        </w:rPr>
        <w:t xml:space="preserve"> 13406</w:t>
      </w:r>
      <w:r w:rsidR="001B1E67" w:rsidRPr="002B52E4">
        <w:rPr>
          <w:color w:val="FF0000"/>
        </w:rPr>
        <w:br/>
        <w:t>D. 26812</w:t>
      </w:r>
    </w:p>
    <w:p w14:paraId="5CE47610" w14:textId="37F2DD5B" w:rsidR="001B1E67" w:rsidRPr="002B52E4" w:rsidRDefault="001B1E67" w:rsidP="00AA514D">
      <w:pPr>
        <w:rPr>
          <w:color w:val="FF0000"/>
        </w:rPr>
      </w:pPr>
      <w:r w:rsidRPr="002B52E4">
        <w:rPr>
          <w:color w:val="FF0000"/>
        </w:rPr>
        <w:t>Ans: 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835"/>
        <w:gridCol w:w="3544"/>
      </w:tblGrid>
      <w:tr w:rsidR="002B52E4" w:rsidRPr="002B52E4" w14:paraId="17C2CDA7" w14:textId="77777777" w:rsidTr="001B1E67">
        <w:tc>
          <w:tcPr>
            <w:tcW w:w="1129" w:type="dxa"/>
          </w:tcPr>
          <w:p w14:paraId="2D5AF25B" w14:textId="53E64E7F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Period</w:t>
            </w:r>
          </w:p>
        </w:tc>
        <w:tc>
          <w:tcPr>
            <w:tcW w:w="1418" w:type="dxa"/>
          </w:tcPr>
          <w:p w14:paraId="15105AE9" w14:textId="548C7502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Interest paid</w:t>
            </w:r>
          </w:p>
        </w:tc>
        <w:tc>
          <w:tcPr>
            <w:tcW w:w="2835" w:type="dxa"/>
          </w:tcPr>
          <w:p w14:paraId="2F7C6BEC" w14:textId="08F60843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Interest expense</w:t>
            </w:r>
          </w:p>
        </w:tc>
        <w:tc>
          <w:tcPr>
            <w:tcW w:w="3544" w:type="dxa"/>
          </w:tcPr>
          <w:p w14:paraId="5344F6F4" w14:textId="72C2A90F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Carry Value</w:t>
            </w:r>
          </w:p>
        </w:tc>
      </w:tr>
      <w:tr w:rsidR="002B52E4" w:rsidRPr="002B52E4" w14:paraId="6A16CB4A" w14:textId="77777777" w:rsidTr="001B1E67">
        <w:tc>
          <w:tcPr>
            <w:tcW w:w="1129" w:type="dxa"/>
          </w:tcPr>
          <w:p w14:paraId="27583F6F" w14:textId="6DA152FF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1 May</w:t>
            </w:r>
          </w:p>
        </w:tc>
        <w:tc>
          <w:tcPr>
            <w:tcW w:w="1418" w:type="dxa"/>
          </w:tcPr>
          <w:p w14:paraId="7F864EE6" w14:textId="61A79C13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-</w:t>
            </w:r>
          </w:p>
        </w:tc>
        <w:tc>
          <w:tcPr>
            <w:tcW w:w="2835" w:type="dxa"/>
          </w:tcPr>
          <w:p w14:paraId="5E8DDBFE" w14:textId="447E3A46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-</w:t>
            </w:r>
          </w:p>
        </w:tc>
        <w:tc>
          <w:tcPr>
            <w:tcW w:w="3544" w:type="dxa"/>
          </w:tcPr>
          <w:p w14:paraId="033D84A8" w14:textId="1CA540D5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224924</w:t>
            </w:r>
          </w:p>
        </w:tc>
      </w:tr>
      <w:tr w:rsidR="002B52E4" w:rsidRPr="002B52E4" w14:paraId="764C322F" w14:textId="77777777" w:rsidTr="001B1E67">
        <w:tc>
          <w:tcPr>
            <w:tcW w:w="1129" w:type="dxa"/>
          </w:tcPr>
          <w:p w14:paraId="0781C0D0" w14:textId="17BBF521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30 Oct</w:t>
            </w:r>
          </w:p>
        </w:tc>
        <w:tc>
          <w:tcPr>
            <w:tcW w:w="1418" w:type="dxa"/>
          </w:tcPr>
          <w:p w14:paraId="17CE9766" w14:textId="2043DCC9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12 000</w:t>
            </w:r>
          </w:p>
        </w:tc>
        <w:tc>
          <w:tcPr>
            <w:tcW w:w="2835" w:type="dxa"/>
          </w:tcPr>
          <w:p w14:paraId="6B92E17E" w14:textId="1E75C990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13495</w:t>
            </w:r>
          </w:p>
        </w:tc>
        <w:tc>
          <w:tcPr>
            <w:tcW w:w="3544" w:type="dxa"/>
          </w:tcPr>
          <w:p w14:paraId="7CE19CE0" w14:textId="3F68E6BD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 xml:space="preserve">223429 = 224924 – (13495 – 12000) </w:t>
            </w:r>
          </w:p>
        </w:tc>
      </w:tr>
      <w:tr w:rsidR="002B52E4" w:rsidRPr="002B52E4" w14:paraId="62838CC1" w14:textId="77777777" w:rsidTr="001B1E67">
        <w:tc>
          <w:tcPr>
            <w:tcW w:w="1129" w:type="dxa"/>
          </w:tcPr>
          <w:p w14:paraId="5F46DF2F" w14:textId="793A159A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30 April</w:t>
            </w:r>
          </w:p>
        </w:tc>
        <w:tc>
          <w:tcPr>
            <w:tcW w:w="1418" w:type="dxa"/>
          </w:tcPr>
          <w:p w14:paraId="3CECFD32" w14:textId="7E6D7FF0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12 000</w:t>
            </w:r>
          </w:p>
        </w:tc>
        <w:tc>
          <w:tcPr>
            <w:tcW w:w="2835" w:type="dxa"/>
          </w:tcPr>
          <w:p w14:paraId="6ABA28F3" w14:textId="246056FE" w:rsidR="001B1E67" w:rsidRPr="002B52E4" w:rsidRDefault="001B1E67" w:rsidP="001B1E67">
            <w:pPr>
              <w:rPr>
                <w:color w:val="FF0000"/>
              </w:rPr>
            </w:pPr>
            <w:r w:rsidRPr="002B52E4">
              <w:rPr>
                <w:color w:val="FF0000"/>
              </w:rPr>
              <w:t>13406 = 223429 x 0.06</w:t>
            </w:r>
          </w:p>
        </w:tc>
        <w:tc>
          <w:tcPr>
            <w:tcW w:w="3544" w:type="dxa"/>
          </w:tcPr>
          <w:p w14:paraId="02C1DE8E" w14:textId="77777777" w:rsidR="001B1E67" w:rsidRPr="002B52E4" w:rsidRDefault="001B1E67" w:rsidP="001B1E67">
            <w:pPr>
              <w:rPr>
                <w:color w:val="FF0000"/>
              </w:rPr>
            </w:pPr>
          </w:p>
        </w:tc>
      </w:tr>
    </w:tbl>
    <w:p w14:paraId="05E262FD" w14:textId="2D66D41F" w:rsidR="001B1E67" w:rsidRDefault="001B1E67" w:rsidP="00AA514D"/>
    <w:p w14:paraId="5CB486D8" w14:textId="0C7CE80D" w:rsidR="00924A64" w:rsidRDefault="00924A64" w:rsidP="00924A64"/>
    <w:sectPr w:rsidR="00924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B0E7" w14:textId="77777777" w:rsidR="006309EA" w:rsidRDefault="006309EA" w:rsidP="002B52E4">
      <w:pPr>
        <w:spacing w:after="0" w:line="240" w:lineRule="auto"/>
      </w:pPr>
      <w:r>
        <w:separator/>
      </w:r>
    </w:p>
  </w:endnote>
  <w:endnote w:type="continuationSeparator" w:id="0">
    <w:p w14:paraId="53314BFD" w14:textId="77777777" w:rsidR="006309EA" w:rsidRDefault="006309EA" w:rsidP="002B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1B35" w14:textId="77777777" w:rsidR="002B52E4" w:rsidRDefault="002B5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7979" w14:textId="77777777" w:rsidR="002B52E4" w:rsidRDefault="002B5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0F72E" w14:textId="77777777" w:rsidR="002B52E4" w:rsidRDefault="002B5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1F0E" w14:textId="77777777" w:rsidR="006309EA" w:rsidRDefault="006309EA" w:rsidP="002B52E4">
      <w:pPr>
        <w:spacing w:after="0" w:line="240" w:lineRule="auto"/>
      </w:pPr>
      <w:r>
        <w:separator/>
      </w:r>
    </w:p>
  </w:footnote>
  <w:footnote w:type="continuationSeparator" w:id="0">
    <w:p w14:paraId="089DE7E8" w14:textId="77777777" w:rsidR="006309EA" w:rsidRDefault="006309EA" w:rsidP="002B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B989" w14:textId="77777777" w:rsidR="002B52E4" w:rsidRDefault="002B5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7B78" w14:textId="7C600C29" w:rsidR="002B52E4" w:rsidRDefault="002B52E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BF6F31" wp14:editId="48EC488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9574a2cb8eb3c8c6b1c3d0c" descr="{&quot;HashCode&quot;:-1796304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4B1EC" w14:textId="5D42643C" w:rsidR="002B52E4" w:rsidRPr="002B52E4" w:rsidRDefault="002B52E4" w:rsidP="002B52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2B52E4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F6F31" id="_x0000_t202" coordsize="21600,21600" o:spt="202" path="m,l,21600r21600,l21600,xe">
              <v:stroke joinstyle="miter"/>
              <v:path gradientshapeok="t" o:connecttype="rect"/>
            </v:shapetype>
            <v:shape id="MSIPCMa9574a2cb8eb3c8c6b1c3d0c" o:spid="_x0000_s1026" type="#_x0000_t202" alt="{&quot;HashCode&quot;:-179630445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DEIkNBFwMAADc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14:paraId="1C14B1EC" w14:textId="5D42643C" w:rsidR="002B52E4" w:rsidRPr="002B52E4" w:rsidRDefault="002B52E4" w:rsidP="002B52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2B52E4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A047" w14:textId="77777777" w:rsidR="002B52E4" w:rsidRDefault="002B5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0CB"/>
    <w:multiLevelType w:val="hybridMultilevel"/>
    <w:tmpl w:val="C28CFE1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1AB0"/>
    <w:multiLevelType w:val="hybridMultilevel"/>
    <w:tmpl w:val="76449C4A"/>
    <w:lvl w:ilvl="0" w:tplc="3354744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E3F1C6F"/>
    <w:multiLevelType w:val="hybridMultilevel"/>
    <w:tmpl w:val="5E38158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64"/>
    <w:rsid w:val="00006E1A"/>
    <w:rsid w:val="000C3730"/>
    <w:rsid w:val="00127E81"/>
    <w:rsid w:val="001B1E67"/>
    <w:rsid w:val="00213EBF"/>
    <w:rsid w:val="00267E0C"/>
    <w:rsid w:val="002B52E4"/>
    <w:rsid w:val="00455011"/>
    <w:rsid w:val="004E227B"/>
    <w:rsid w:val="006309EA"/>
    <w:rsid w:val="006474CC"/>
    <w:rsid w:val="00650DCE"/>
    <w:rsid w:val="006F68D2"/>
    <w:rsid w:val="00795C08"/>
    <w:rsid w:val="008C2A9F"/>
    <w:rsid w:val="00924A64"/>
    <w:rsid w:val="00965AF0"/>
    <w:rsid w:val="00AA514D"/>
    <w:rsid w:val="00B55F7F"/>
    <w:rsid w:val="00C31D03"/>
    <w:rsid w:val="00DE4EB6"/>
    <w:rsid w:val="00F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3A190"/>
  <w15:chartTrackingRefBased/>
  <w15:docId w15:val="{3D38446B-2AFF-42B8-B1FD-5EEB8A9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A64"/>
    <w:pPr>
      <w:ind w:left="720"/>
      <w:contextualSpacing/>
    </w:pPr>
  </w:style>
  <w:style w:type="table" w:styleId="TableGrid">
    <w:name w:val="Table Grid"/>
    <w:basedOn w:val="TableNormal"/>
    <w:uiPriority w:val="39"/>
    <w:rsid w:val="0092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0D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E4"/>
  </w:style>
  <w:style w:type="paragraph" w:styleId="Footer">
    <w:name w:val="footer"/>
    <w:basedOn w:val="Normal"/>
    <w:link w:val="FooterChar"/>
    <w:uiPriority w:val="99"/>
    <w:unhideWhenUsed/>
    <w:rsid w:val="002B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Richard Crowley</cp:lastModifiedBy>
  <cp:revision>7</cp:revision>
  <dcterms:created xsi:type="dcterms:W3CDTF">2018-03-05T15:29:00Z</dcterms:created>
  <dcterms:modified xsi:type="dcterms:W3CDTF">2018-03-09T02:42:00Z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2018-03-08T00:37:55.9165630+08:00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